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441—9.1</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purpose and scope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facilitate public access to open records. It also seeks to facilitate department determinations with respect to the handling of confidential records and the implementation of the fair information practices Act. The department is committed to the policies set forth in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department staff shall cooperate with members of the public in implementing the provisions of that chapter. </w:t>
      </w:r>
    </w:p>
    <w:p>
      <w:pPr>
        <w:spacing w:before="0" w:after="0"/>
        <w:ind w:left="120"/>
        <w:jc w:val="both"/>
      </w:pPr>
      <w:r>
        <w:rPr>
          <w:rFonts w:ascii="Times New Roman" w:hAnsi="Times New Roman"/>
          <w:b w:val="false"/>
          <w:i w:val="false"/>
          <w:color w:val="000000"/>
          <w:sz w:val="22"/>
        </w:rPr>
        <w:t>These rules also implement the federal Health Insurance Portability and Accountability Act (HIPAA) regulations at 45 CFR Parts 160 and 164 as amended to March 26, 2013. These rules set forth the standards the department must meet to protect the privacy of protected health information. The department is a hybrid entity for purposes of HIPAA. The rules on protected health information apply only to those parts of the department that are considered part of the covered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constitutional principles, statutes, rules of discovery, evidentiary privileges, and applicable rules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the agency to create, compare or procure a record solely for the purpose of making it available.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2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