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441—85.7</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hospital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85.7(1)</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formula. </w:t>
      </w:r>
      <w:r>
        <w:rPr>
          <w:rFonts w:ascii="Times New Roman" w:hAnsi="Times New Roman"/>
          <w:b w:val="false"/>
          <w:i w:val="false"/>
          <w:color w:val="000000"/>
          <w:sz w:val="22"/>
        </w:rPr>
        <w:t>Acute care in psychiatric hospitals shall be reimbursed on a per diem rate based on Medicare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reimbursement principles follow and comply with the retrospective Principles of Medicare reimbursement found in Title 18 of the Social Security Act and amendments to that Act, Medicare regulations found in the Health Insurance Regulation Manual (HIRM-1), and General Instructions-Health Insurance Manual sections 10, 11, 12 and 15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Allowable costs are those defined as allowable in 42 CFR, Subpart A, Sections 413.5 and 413.9, as amended to June 15, 2022, and </w:t>
      </w:r>
      <w:r>
        <w:rPr>
          <w:rFonts w:ascii="Times New Roman" w:hAnsi="Times New Roman"/>
          <w:b w:val="false"/>
          <w:i w:val="false"/>
          <w:color w:val="000000"/>
          <w:sz w:val="22"/>
        </w:rPr>
        <w:t>42 CFR 447.250</w:t>
      </w:r>
      <w:r>
        <w:rPr>
          <w:rFonts w:ascii="Times New Roman" w:hAnsi="Times New Roman"/>
          <w:b w:val="false"/>
          <w:i w:val="false"/>
          <w:color w:val="000000"/>
          <w:sz w:val="22"/>
        </w:rPr>
        <w:t xml:space="preserve"> as amended to June 15, 2022. Only those costs are considered in calculating the Medicaid inpatient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and Medicaid principles of reimbursement require hospitals to be paid at the lower of customary charges or reasonable cost and to adhere to all Medicare cost principles in the calculation of the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care for recipients for whom the PRO has determined that the level of care that is medically necessary is only that of skilled care or nursing care will be made at a rate equal to the statewide average Medicaid skilled nursing facility rate or the average state nursing facility rate.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participating Medicaid provider shall file a CMS 2552 Medicare Cost Report or a substitute accepted by the Centers for Medicare and Medicaid Services. In addition, supplemental information sheets are furnished to all Medicaid providers to be filed with the annual cost report. This report must be filed with the Iowa Medicaid enterprise provider audits and rate-setting unit for Iowa within 150 days after the close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a disproportionate share of indigent patients is determined as described in </w:t>
      </w:r>
      <w:hyperlink r:id="rId4">
        <w:r>
          <w:rPr>
            <w:rStyle w:val="Hyperlink"/>
            <w:rFonts w:ascii="Times New Roman" w:hAnsi="Times New Roman"/>
            <w:b w:val="false"/>
            <w:i w:val="false"/>
            <w:color w:val="000000"/>
            <w:sz w:val="22"/>
          </w:rPr>
          <w:t>441—subrule 79.1(5)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Medicaid reimbursement shall be reduced by any payments from a third party toward the cost of a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85.7(2)</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The medical necessity of admission and continued stay will be determined by the PRO. Payment shall not be made for admissions which are determined not to be medically necessary nor will payment be approved for stays beyond the time at which inpatient specialized hospital care at the acute level has been determined not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85.7(3)</w:t>
      </w:r>
      <w:r>
        <w:rPr>
          <w:rFonts w:ascii="Times New Roman" w:hAnsi="Times New Roman"/>
          <w:b w:val="false"/>
          <w:i w:val="false"/>
          <w:color w:val="000000"/>
          <w:sz w:val="22"/>
        </w:rPr>
        <w:t> </w:t>
      </w:r>
      <w:r>
        <w:rPr>
          <w:rFonts w:ascii="Times New Roman" w:hAnsi="Times New Roman"/>
          <w:b w:val="false"/>
          <w:i/>
          <w:color w:val="000000"/>
          <w:sz w:val="22"/>
        </w:rPr>
        <w:t xml:space="preserve">Reserve bed day payment. </w:t>
      </w:r>
      <w:r>
        <w:rPr>
          <w:rFonts w:ascii="Times New Roman" w:hAnsi="Times New Roman"/>
          <w:b w:val="false"/>
          <w:i w:val="false"/>
          <w:color w:val="000000"/>
          <w:sz w:val="22"/>
        </w:rPr>
        <w:t>No reserve bed day payments are made to acute care psychiatric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85.7(4)</w:t>
      </w:r>
      <w:r>
        <w:rPr>
          <w:rFonts w:ascii="Times New Roman" w:hAnsi="Times New Roman"/>
          <w:b w:val="false"/>
          <w:i w:val="false"/>
          <w:color w:val="000000"/>
          <w:sz w:val="22"/>
        </w:rPr>
        <w:t> </w:t>
      </w:r>
      <w:r>
        <w:rPr>
          <w:rFonts w:ascii="Times New Roman" w:hAnsi="Times New Roman"/>
          <w:b w:val="false"/>
          <w:i/>
          <w:color w:val="000000"/>
          <w:sz w:val="22"/>
        </w:rPr>
        <w:t xml:space="preserve">Outpatient services. </w:t>
      </w:r>
      <w:r>
        <w:rPr>
          <w:rFonts w:ascii="Times New Roman" w:hAnsi="Times New Roman"/>
          <w:b w:val="false"/>
          <w:i w:val="false"/>
          <w:color w:val="000000"/>
          <w:sz w:val="22"/>
        </w:rPr>
        <w:t>No coverage is available for outpatient psychiatric hospital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