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441—85.5</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85.5(1)</w:t>
      </w:r>
      <w:r>
        <w:rPr>
          <w:rFonts w:ascii="Times New Roman" w:hAnsi="Times New Roman"/>
          <w:b w:val="false"/>
          <w:i w:val="false"/>
          <w:color w:val="000000"/>
          <w:sz w:val="22"/>
        </w:rPr>
        <w:t> </w:t>
      </w:r>
      <w:r>
        <w:rPr>
          <w:rFonts w:ascii="Times New Roman" w:hAnsi="Times New Roman"/>
          <w:b w:val="false"/>
          <w:i/>
          <w:color w:val="000000"/>
          <w:sz w:val="22"/>
        </w:rPr>
        <w:t xml:space="preserve">Before July 2005. </w:t>
      </w:r>
      <w:r>
        <w:rPr>
          <w:rFonts w:ascii="Times New Roman" w:hAnsi="Times New Roman"/>
          <w:b w:val="false"/>
          <w:i w:val="false"/>
          <w:color w:val="000000"/>
          <w:sz w:val="22"/>
        </w:rPr>
        <w:t xml:space="preserve">For months before July 2005, the resident shall be liable to pay client participation toward the cost of care on a monthly basis. The state will pay the balance of the cost of care for the month. The facility shall make arrangements directly with the resident for payment of client participation. Client participation is determined according to </w:t>
      </w:r>
      <w:hyperlink r:id="rId4">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85.5(2)</w:t>
      </w:r>
      <w:r>
        <w:rPr>
          <w:rFonts w:ascii="Times New Roman" w:hAnsi="Times New Roman"/>
          <w:b w:val="false"/>
          <w:i w:val="false"/>
          <w:color w:val="000000"/>
          <w:sz w:val="22"/>
        </w:rPr>
        <w:t> </w:t>
      </w:r>
      <w:r>
        <w:rPr>
          <w:rFonts w:ascii="Times New Roman" w:hAnsi="Times New Roman"/>
          <w:b w:val="false"/>
          <w:i/>
          <w:color w:val="000000"/>
          <w:sz w:val="22"/>
        </w:rPr>
        <w:t xml:space="preserve">July 2005 and after. </w:t>
      </w:r>
      <w:r>
        <w:rPr>
          <w:rFonts w:ascii="Times New Roman" w:hAnsi="Times New Roman"/>
          <w:b w:val="false"/>
          <w:i w:val="false"/>
          <w:color w:val="000000"/>
          <w:sz w:val="22"/>
        </w:rPr>
        <w:t>Effective with the month of July 2005, the resident shall not be liable to pay client participation toward the cost of care, and no client participation amount shall be deducted from the state payment to the hospital.</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75.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