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day treatment for persons aged 20 or under. </w:t>
      </w:r>
      <w:r>
        <w:rPr>
          <w:rFonts w:ascii="Times New Roman" w:hAnsi="Times New Roman"/>
          <w:b w:val="false"/>
          <w:i w:val="false"/>
          <w:color w:val="000000"/>
          <w:sz w:val="22"/>
        </w:rPr>
        <w:t>Payment to a psychiatric medical institution for children will be approved for day treatment services for persons aged 20 or under if the psychiatric medical institution for children is certified by the department of inspections and appeals for day treatment services and the services are provided on the licensed premises of the psychiatric medical institution for children.</w:t>
      </w:r>
    </w:p>
    <w:p>
      <w:pPr>
        <w:spacing w:before="0" w:after="0"/>
        <w:ind w:left="120"/>
        <w:jc w:val="left"/>
      </w:pPr>
      <w:r>
        <w:rPr>
          <w:rFonts w:ascii="Times New Roman" w:hAnsi="Times New Roman"/>
          <w:b w:val="false"/>
          <w:i w:val="false"/>
          <w:color w:val="000000"/>
          <w:sz w:val="22"/>
        </w:rPr>
        <w:t xml:space="preserve">Exception: </w:t>
      </w:r>
    </w:p>
    <w:p>
      <w:pPr>
        <w:spacing w:before="0" w:after="0"/>
        <w:ind w:left="120"/>
        <w:jc w:val="left"/>
      </w:pPr>
      <w:r>
        <w:rPr>
          <w:rFonts w:ascii="Times New Roman" w:hAnsi="Times New Roman"/>
          <w:b w:val="false"/>
          <w:i w:val="false"/>
          <w:color w:val="000000"/>
          <w:sz w:val="22"/>
        </w:rPr>
        <w:t xml:space="preserve"> Field trips away from the premises are a covered service when the trip is therapeutic and integrated into the day treatment program’s description and milieu plan. All conditions for the day treatment program for persons aged 20 or under as outlined in </w:t>
      </w:r>
      <w:hyperlink r:id="rId4">
        <w:r>
          <w:rPr>
            <w:rStyle w:val="Hyperlink"/>
            <w:rFonts w:ascii="Times New Roman" w:hAnsi="Times New Roman"/>
            <w:b w:val="false"/>
            <w:i w:val="false"/>
            <w:color w:val="000000"/>
            <w:sz w:val="22"/>
          </w:rPr>
          <w:t>441—subrule 78.16(7)</w:t>
        </w:r>
      </w:hyperlink>
      <w:r>
        <w:rPr>
          <w:rFonts w:ascii="Times New Roman" w:hAnsi="Times New Roman"/>
          <w:b w:val="false"/>
          <w:i w:val="false"/>
          <w:color w:val="000000"/>
          <w:sz w:val="22"/>
        </w:rPr>
        <w:t xml:space="preserve"> for community mental health centers shall apply to psychiatric medical institutions for children.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