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441—85.23</w:t>
      </w:r>
      <w:r>
        <w:rPr>
          <w:rFonts w:ascii="Times New Roman" w:hAnsi="Times New Roman"/>
          <w:b/>
          <w:i w:val="false"/>
          <w:color w:val="000000"/>
          <w:sz w:val="22"/>
        </w:rPr>
        <w:t xml:space="preserve">(249A) </w:t>
      </w:r>
      <w:r>
        <w:rPr>
          <w:rFonts w:ascii="Times New Roman" w:hAnsi="Times New Roman"/>
          <w:b/>
          <w:i w:val="false"/>
          <w:color w:val="000000"/>
          <w:sz w:val="22"/>
        </w:rPr>
        <w:t xml:space="preserve">Client participation. </w:t>
      </w:r>
      <w:r>
        <w:rPr>
          <w:rFonts w:ascii="Times New Roman" w:hAnsi="Times New Roman"/>
          <w:b w:val="false"/>
          <w:i w:val="false"/>
          <w:color w:val="000000"/>
          <w:sz w:val="22"/>
        </w:rPr>
        <w:t xml:space="preserve">The resident’s client participation and medical payments from a third party shall be paid toward the total cost of care on a monthly basis. The state will pay the balance of the cost of care for the month. The facility shall make arrangements directly with the resident for payment of client participation. Client participation is determined according to </w:t>
      </w:r>
      <w:hyperlink r:id="rId4">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6714C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75.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