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441—78.12</w:t>
      </w:r>
      <w:r>
        <w:rPr>
          <w:rFonts w:ascii="Times New Roman" w:hAnsi="Times New Roman"/>
          <w:b/>
          <w:i w:val="false"/>
          <w:color w:val="000000"/>
          <w:sz w:val="22"/>
        </w:rPr>
        <w:t xml:space="preserve">(249A) </w:t>
      </w:r>
      <w:r>
        <w:rPr>
          <w:rFonts w:ascii="Times New Roman" w:hAnsi="Times New Roman"/>
          <w:b/>
          <w:i w:val="false"/>
          <w:color w:val="000000"/>
          <w:sz w:val="22"/>
        </w:rPr>
        <w:t xml:space="preserve">Behavioral health intervention. </w:t>
      </w:r>
      <w:r>
        <w:rPr>
          <w:rFonts w:ascii="Times New Roman" w:hAnsi="Times New Roman"/>
          <w:b w:val="false"/>
          <w:i w:val="false"/>
          <w:color w:val="000000"/>
          <w:sz w:val="22"/>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“Behavioral health intervention” </w:t>
      </w:r>
      <w:r>
        <w:rPr>
          <w:rFonts w:ascii="Times New Roman" w:hAnsi="Times New Roman"/>
          <w:b w:val="false"/>
          <w:i w:val="false"/>
          <w:color w:val="000000"/>
          <w:sz w:val="22"/>
        </w:rPr>
        <w:t>means skill-building services that focus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Addressing the mental and functional disabilities that negatively affect a member’s integration and stability in the community and quality of life;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Improving a member’s health and well-being related to the member’s mental disorder by reducing or managing the symptoms or behaviors that prevent the member from functioning at the member’s best possible functional level;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 member’s mental health recovery and resilience through increasing the member’s ability to manage symptoms.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practitioner of the healing arts”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“LPHA,” </w:t>
      </w:r>
      <w:r>
        <w:rPr>
          <w:rFonts w:ascii="Times New Roman" w:hAnsi="Times New Roman"/>
          <w:b w:val="false"/>
          <w:i w:val="false"/>
          <w:color w:val="000000"/>
          <w:sz w:val="22"/>
        </w:rPr>
        <w:t>as used in this rule, means a practitioner such as a physician (M.D. or D.O.), a physician assistant (PA), an advanced registered nurse practitioner (ARNP), a psychologist, a social worker (LMSW or LISW), a marital and family therapist (LMFT), or a mental health counselor (LMHC) who is licensed by the applicable state authority for that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“Managed care organization” </w:t>
      </w:r>
      <w:r>
        <w:rPr>
          <w:rFonts w:ascii="Times New Roman" w:hAnsi="Times New Roman"/>
          <w:b w:val="false"/>
          <w:i w:val="false"/>
          <w:color w:val="000000"/>
          <w:sz w:val="22"/>
        </w:rPr>
        <w:t xml:space="preserve">means an entity that (1) is under contract with the department to provide services to Medicaid recipients and (2) meets the definition of “health maintenance organization” as defined in Iowa Code section </w:t>
      </w:r>
      <w:hyperlink r:id="rId4">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“Mental disorder” </w:t>
      </w:r>
      <w:r>
        <w:rPr>
          <w:rFonts w:ascii="Times New Roman" w:hAnsi="Times New Roman"/>
          <w:b w:val="false"/>
          <w:i w:val="false"/>
          <w:color w:val="000000"/>
          <w:sz w:val="22"/>
        </w:rPr>
        <w:t>means a disorder, dysfunction, or dysphoria diagnosed pursuant to the current version of the Diagnostic and Statistical Manual of Mental Disorders published by the American Psychiatric Association, excluding intellectual disabilities, personality disorders, medication-induced movement disorders and other adverse effects of medication, and other conditions that may be a focus of clinical attention.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78.12(2)</w:t>
      </w:r>
      <w:r>
        <w:rPr>
          <w:rFonts w:ascii="Times New Roman" w:hAnsi="Times New Roman"/>
          <w:b w:val="false"/>
          <w:i w:val="false"/>
          <w:color w:val="000000"/>
          <w:sz w:val="22"/>
        </w:rPr>
        <w:t> </w:t>
      </w:r>
      <w:r>
        <w:rPr>
          <w:rFonts w:ascii="Times New Roman" w:hAnsi="Times New Roman"/>
          <w:b w:val="false"/>
          <w:i/>
          <w:color w:val="000000"/>
          <w:sz w:val="22"/>
        </w:rPr>
        <w:t xml:space="preserve">Covered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Service setting.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Skill training and development,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Residential behavioral health intervention is available to members eligible for foster group care payment pursuant to </w:t>
      </w:r>
      <w:hyperlink r:id="rId5">
        <w:r>
          <w:rPr>
            <w:rStyle w:val="Hyperlink"/>
            <w:rFonts w:ascii="Times New Roman" w:hAnsi="Times New Roman"/>
            <w:b w:val="false"/>
            <w:i w:val="false"/>
            <w:color w:val="000000"/>
            <w:sz w:val="22"/>
          </w:rPr>
          <w:t>441—subrule 156.20(1)</w:t>
        </w:r>
      </w:hyperlink>
      <w:r>
        <w:rPr>
          <w:rFonts w:ascii="Times New Roman" w:hAnsi="Times New Roman"/>
          <w:b w:val="false"/>
          <w:i w:val="false"/>
          <w:color w:val="000000"/>
          <w:sz w:val="22"/>
        </w:rPr>
        <w:t>. Services have the primary goal of assisting the member to prepare to transition to the community through learning age-appropriate skills to manage behavior and regain or retain self-control. Specific services offered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Behavior intervention,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Crisis intervention,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Family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 is not covered for members who are in an acute care or psychiatric hospital, a long-term care facility, or a psychiatric medical institution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Crisis intervention. </w:t>
      </w:r>
      <w:r>
        <w:rPr>
          <w:rFonts w:ascii="Times New Roman" w:hAnsi="Times New Roman"/>
          <w:b w:val="false"/>
          <w:i w:val="false"/>
          <w:color w:val="000000"/>
          <w:sz w:val="22"/>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Services shall assist a member to regain self-control and reestablish effective management of behavioral symptoms associated with a psychological disorder in an age-appropriate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Crisis intervention is covered only for Medicaid members who are aged 20 or under and shall be provided as outlined in a written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Crisis intervention services do not include control room or other restraint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Behavior intervention. </w:t>
      </w:r>
      <w:r>
        <w:rPr>
          <w:rFonts w:ascii="Times New Roman" w:hAnsi="Times New Roman"/>
          <w:b w:val="false"/>
          <w:i w:val="false"/>
          <w:color w:val="000000"/>
          <w:sz w:val="22"/>
        </w:rPr>
        <w:t>Behavior intervention includes services designed to modify the psychological, behavioral, emotional, cognitive, and social factors affecting a member’s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Interventions may address the following skills for effective functioning with family, peers, and community in an age-appropriate manner: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Cognitive flexibility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Emotional regulation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Executive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Social skills.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Behavior intervention shall be provided in a location appropriate for skill identification, teaching and development. Intervention may be provided in an individual, family, or group format as appropriate to meet the member’s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Behavior intervention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Covered services include only direct teaching or development of skills and not general recreation, non-skill-based activities, mentoring, or interruption of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Family training. </w:t>
      </w:r>
      <w:r>
        <w:rPr>
          <w:rFonts w:ascii="Times New Roman" w:hAnsi="Times New Roman"/>
          <w:b w:val="false"/>
          <w:i w:val="false"/>
          <w:color w:val="000000"/>
          <w:sz w:val="22"/>
        </w:rPr>
        <w:t>Family training is covered only for Medicaid members aged 20 or under.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Family training services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the family’s ability to effectively interact with the child and support the child’s functioning in the home and community,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Teach parents to identify and implement strategies to reduce target behaviors and reinforce the appropriate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provided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Be for the direct benefit of the member, and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 based on a curriculum with a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Skill training and development. </w:t>
      </w:r>
      <w:r>
        <w:rPr>
          <w:rFonts w:ascii="Times New Roman" w:hAnsi="Times New Roman"/>
          <w:b w:val="false"/>
          <w:i w:val="false"/>
          <w:color w:val="000000"/>
          <w:sz w:val="22"/>
        </w:rPr>
        <w:t>Skill training and development services are covered for Medicaid members aged 18 or 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Skill training and development shall consist of interventions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Enhance a member’s independent living, social, and 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Minimize or eliminate psychological barriers to a member’s ability to effectively manage symptoms associated with a psychological disorder;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Maximize a member’s ability to live and participate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Interventions may include training in the following skills for effective functioning with family, peers, and community: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Communication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Conflict resolution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Daily living skills,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Employment-related skills,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Interpersonal relationship skills,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Problem-solving skills,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Social skills.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78.12(3)</w:t>
      </w:r>
      <w:r>
        <w:rPr>
          <w:rFonts w:ascii="Times New Roman" w:hAnsi="Times New Roman"/>
          <w:b w:val="false"/>
          <w:i w:val="false"/>
          <w:color w:val="000000"/>
          <w:sz w:val="22"/>
        </w:rPr>
        <w:t> </w:t>
      </w:r>
      <w:r>
        <w:rPr>
          <w:rFonts w:ascii="Times New Roman" w:hAnsi="Times New Roman"/>
          <w:b w:val="false"/>
          <w:i/>
          <w:color w:val="000000"/>
          <w:sz w:val="22"/>
        </w:rPr>
        <w:t xml:space="preserve">Excluded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that are habilitative in nature are not covered under behavioral health intervention.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Respite, day care, education, and recreation services are not covered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78.12(4)</w:t>
      </w:r>
      <w:r>
        <w:rPr>
          <w:rFonts w:ascii="Times New Roman" w:hAnsi="Times New Roman"/>
          <w:b w:val="false"/>
          <w:i w:val="false"/>
          <w:color w:val="000000"/>
          <w:sz w:val="22"/>
        </w:rPr>
        <w:t> </w:t>
      </w:r>
      <w:r>
        <w:rPr>
          <w:rFonts w:ascii="Times New Roman" w:hAnsi="Times New Roman"/>
          <w:b w:val="false"/>
          <w:i/>
          <w:color w:val="000000"/>
          <w:sz w:val="22"/>
        </w:rPr>
        <w:t xml:space="preserve">Coverage requirements. </w:t>
      </w:r>
      <w:r>
        <w:rPr>
          <w:rFonts w:ascii="Times New Roman" w:hAnsi="Times New Roman"/>
          <w:b w:val="false"/>
          <w:i w:val="false"/>
          <w:color w:val="000000"/>
          <w:sz w:val="22"/>
        </w:rPr>
        <w:t>Medicaid covers behavioral health intervention only when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practitioner of the healing arts acting within the practitioner’s scope of practice under state law has diagnosed the member with a psychological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need for services must meet specific individual goals that are focused to address: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Risk of harm to self or others,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Behavioral support in the community,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Specific skills impaired due to the member’s mental illness,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Needs of children at risk of out-of-home placement due to mental health needs or the transition back to the community or home following an out-of-home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Diagnosis and treatment plan development are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member under the age of 21,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in cooperation with the managed care contractor, selected a standardized assessment instrument appropriate for baseline measurement of the member’s current skill level in managing mental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completed an initial formal assessment of the member using the instrument selected;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Completes a formal assessment every six months thereafter if continued services are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behavioral health intervention provider has prepared a written services implementation plan that meets the requirements of subrule </w:t>
      </w:r>
      <w:hyperlink r:id="rId6">
        <w:r>
          <w:rPr>
            <w:rStyle w:val="Hyperlink"/>
            <w:rFonts w:ascii="Times New Roman" w:hAnsi="Times New Roman"/>
            <w:b w:val="false"/>
            <w:i w:val="false"/>
            <w:color w:val="000000"/>
            <w:sz w:val="22"/>
          </w:rPr>
          <w:t>78.12(5)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78.12(5)</w:t>
      </w:r>
      <w:r>
        <w:rPr>
          <w:rFonts w:ascii="Times New Roman" w:hAnsi="Times New Roman"/>
          <w:b w:val="false"/>
          <w:i w:val="false"/>
          <w:color w:val="000000"/>
          <w:sz w:val="22"/>
        </w:rPr>
        <w:t> </w:t>
      </w:r>
      <w:r>
        <w:rPr>
          <w:rFonts w:ascii="Times New Roman" w:hAnsi="Times New Roman"/>
          <w:b w:val="false"/>
          <w:i/>
          <w:color w:val="000000"/>
          <w:sz w:val="22"/>
        </w:rPr>
        <w:t xml:space="preserve">Approval of plan. </w:t>
      </w:r>
      <w:r>
        <w:rPr>
          <w:rFonts w:ascii="Times New Roman" w:hAnsi="Times New Roman"/>
          <w:b w:val="false"/>
          <w:i w:val="false"/>
          <w:color w:val="000000"/>
          <w:sz w:val="22"/>
        </w:rPr>
        <w:t>The behavioral health intervention provider shall contact the member’s managed care plan for authorization of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plan. </w:t>
      </w:r>
      <w:r>
        <w:rPr>
          <w:rFonts w:ascii="Times New Roman" w:hAnsi="Times New Roman"/>
          <w:b w:val="false"/>
          <w:i w:val="false"/>
          <w:color w:val="000000"/>
          <w:sz w:val="22"/>
        </w:rPr>
        <w:t>The initial services implementation plan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conforms to the medical necessity requirements in subrule </w:t>
      </w:r>
      <w:hyperlink r:id="rId7">
        <w:r>
          <w:rPr>
            <w:rStyle w:val="Hyperlink"/>
            <w:rFonts w:ascii="Times New Roman" w:hAnsi="Times New Roman"/>
            <w:b w:val="false"/>
            <w:i w:val="false"/>
            <w:color w:val="000000"/>
            <w:sz w:val="22"/>
          </w:rPr>
          <w:t>78.12(6)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is consistent with the written diagnosis and treatment recommendations made by the licensed practitioner of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plan is sufficient in amount, duration, and scope to reasonably achieve its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meets the requirements of rule </w:t>
      </w:r>
      <w:hyperlink r:id="rId8">
        <w:r>
          <w:rPr>
            <w:rStyle w:val="Hyperlink"/>
            <w:rFonts w:ascii="Times New Roman" w:hAnsi="Times New Roman"/>
            <w:b w:val="false"/>
            <w:i w:val="false"/>
            <w:color w:val="000000"/>
            <w:sz w:val="22"/>
          </w:rPr>
          <w:t>441—77.12</w:t>
        </w:r>
      </w:hyperlink>
      <w:r>
        <w:rPr>
          <w:rFonts w:ascii="Times New Roman" w:hAnsi="Times New Roman"/>
          <w:b w:val="false"/>
          <w:i w:val="false"/>
          <w:color w:val="000000"/>
          <w:sz w:val="22"/>
        </w:rPr>
        <w:t>(249A);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does not exceed six months’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Subsequent plans. </w:t>
      </w:r>
      <w:r>
        <w:rPr>
          <w:rFonts w:ascii="Times New Roman" w:hAnsi="Times New Roman"/>
          <w:b w:val="false"/>
          <w:i w:val="false"/>
          <w:color w:val="000000"/>
          <w:sz w:val="22"/>
        </w:rPr>
        <w:t xml:space="preserve">The member’s managed care plan may approve a subsequent services implementation plan according to the conditions in paragraph </w:t>
      </w:r>
      <w:hyperlink r:id="rId9">
        <w:r>
          <w:rPr>
            <w:rStyle w:val="Hyperlink"/>
            <w:rFonts w:ascii="Times New Roman" w:hAnsi="Times New Roman"/>
            <w:b w:val="false"/>
            <w:i w:val="false"/>
            <w:color w:val="000000"/>
            <w:sz w:val="22"/>
          </w:rPr>
          <w:t>78.12(5)</w:t>
        </w:r>
        <w:r>
          <w:rPr>
            <w:rFonts w:ascii="Times New Roman" w:hAnsi="Times New Roman"/>
            <w:b w:val="false"/>
            <w:i/>
            <w:color w:val="000000"/>
            <w:sz w:val="22"/>
          </w:rPr>
          <w:t>“a”</w:t>
        </w:r>
      </w:hyperlink>
      <w:r>
        <w:rPr>
          <w:rFonts w:ascii="Times New Roman" w:hAnsi="Times New Roman"/>
          <w:b w:val="false"/>
          <w:i w:val="false"/>
          <w:color w:val="000000"/>
          <w:sz w:val="22"/>
        </w:rPr>
        <w:t xml:space="preserve"> if the services are recommended by a licensed practitioner of the healing arts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Reexamined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Reviewed the original diagnosis and treatment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Evaluated the member’s progress, including a formal assessment as required by </w:t>
      </w:r>
      <w:hyperlink r:id="rId10">
        <w:r>
          <w:rPr>
            <w:rStyle w:val="Hyperlink"/>
            <w:rFonts w:ascii="Times New Roman" w:hAnsi="Times New Roman"/>
            <w:b w:val="false"/>
            <w:i w:val="false"/>
            <w:color w:val="000000"/>
            <w:sz w:val="22"/>
          </w:rPr>
          <w:t>78.12(4)</w:t>
        </w:r>
        <w:r>
          <w:rPr>
            <w:rFonts w:ascii="Times New Roman" w:hAnsi="Times New Roman"/>
            <w:b w:val="false"/>
            <w:i/>
            <w:color w:val="000000"/>
            <w:sz w:val="22"/>
          </w:rPr>
          <w:t>“c”</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78.12(6)</w:t>
      </w:r>
      <w:r>
        <w:rPr>
          <w:rFonts w:ascii="Times New Roman" w:hAnsi="Times New Roman"/>
          <w:b w:val="false"/>
          <w:i w:val="false"/>
          <w:color w:val="000000"/>
          <w:sz w:val="22"/>
        </w:rPr>
        <w:t> </w:t>
      </w:r>
      <w:r>
        <w:rPr>
          <w:rFonts w:ascii="Times New Roman" w:hAnsi="Times New Roman"/>
          <w:b w:val="false"/>
          <w:i/>
          <w:color w:val="000000"/>
          <w:sz w:val="22"/>
        </w:rPr>
        <w:t xml:space="preserve">Medical necessity. </w:t>
      </w:r>
      <w:r>
        <w:rPr>
          <w:rFonts w:ascii="Times New Roman" w:hAnsi="Times New Roman"/>
          <w:b w:val="false"/>
          <w:i w:val="false"/>
          <w:color w:val="000000"/>
          <w:sz w:val="22"/>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and treatment of the member’s condition and specific to a daily impairment caused by a mental disorder;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Required to meet the medical needs of the member and is needed for reasons other than the convenience of the member or the member’s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least costly type of service that can reasonably meet the medical needs of the member;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accordance with the standards of evidence-based medical practice. The standards of practice for each field of medical and remedial care covered by the Iowa Medicaid program are those standards of practice identified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Knowledgeable Iowa clinicians practicing or teaching in the field;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professional literature regarding evidence-based practices in the field.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8504B</w:t>
      </w:r>
      <w:r>
        <w:rPr>
          <w:rFonts w:ascii="Times New Roman" w:hAnsi="Times New Roman"/>
          <w:b w:val="false"/>
          <w:i w:val="false"/>
          <w:color w:val="000000"/>
          <w:sz w:val="16"/>
        </w:rPr>
        <w:t>, IAB 2/10/10, effective 3/22/10</w:t>
      </w:r>
      <w:r>
        <w:rPr>
          <w:rFonts w:ascii="Times New Roman" w:hAnsi="Times New Roman"/>
          <w:b w:val="false"/>
          <w:i w:val="false"/>
          <w:color w:val="000000"/>
          <w:sz w:val="16"/>
        </w:rPr>
        <w:t xml:space="preserve">; </w:t>
      </w:r>
      <w:r>
        <w:rPr>
          <w:rFonts w:ascii="Times New Roman" w:hAnsi="Times New Roman"/>
          <w:b/>
          <w:i w:val="false"/>
          <w:color w:val="000000"/>
          <w:sz w:val="16"/>
        </w:rPr>
        <w:t>ARC 9487B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1850C</w:t>
      </w:r>
      <w:r>
        <w:rPr>
          <w:rFonts w:ascii="Times New Roman" w:hAnsi="Times New Roman"/>
          <w:b w:val="false"/>
          <w:i w:val="false"/>
          <w:color w:val="000000"/>
          <w:sz w:val="16"/>
        </w:rPr>
        <w:t>, IAB 2/4/15, effective 4/1/15</w:t>
      </w:r>
      <w:r>
        <w:rPr>
          <w:rFonts w:ascii="Times New Roman" w:hAnsi="Times New Roman"/>
          <w:b w:val="false"/>
          <w:i w:val="false"/>
          <w:color w:val="000000"/>
          <w:sz w:val="16"/>
        </w:rPr>
        <w:t xml:space="preserve">; </w:t>
      </w:r>
      <w:r>
        <w:rPr>
          <w:rFonts w:ascii="Times New Roman" w:hAnsi="Times New Roman"/>
          <w:b/>
          <w:i w:val="false"/>
          <w:color w:val="000000"/>
          <w:sz w:val="16"/>
        </w:rPr>
        <w:t>ARC 2164C</w:t>
      </w:r>
      <w:r>
        <w:rPr>
          <w:rFonts w:ascii="Times New Roman" w:hAnsi="Times New Roman"/>
          <w:b w:val="false"/>
          <w:i w:val="false"/>
          <w:color w:val="000000"/>
          <w:sz w:val="16"/>
        </w:rPr>
        <w:t>, IAB 9/30/15,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2361C</w:t>
      </w:r>
      <w:r>
        <w:rPr>
          <w:rFonts w:ascii="Times New Roman" w:hAnsi="Times New Roman"/>
          <w:b w:val="false"/>
          <w:i w:val="false"/>
          <w:color w:val="000000"/>
          <w:sz w:val="16"/>
        </w:rPr>
        <w:t>, IAB 1/6/16,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5305C</w:t>
      </w:r>
      <w:r>
        <w:rPr>
          <w:rFonts w:ascii="Times New Roman" w:hAnsi="Times New Roman"/>
          <w:b w:val="false"/>
          <w:i w:val="false"/>
          <w:color w:val="000000"/>
          <w:sz w:val="16"/>
        </w:rPr>
        <w:t>, IAB 12/2/20, effective 2/1/21</w:t>
      </w:r>
      <w:r>
        <w:rPr>
          <w:rFonts w:ascii="Times New Roman" w:hAnsi="Times New Roman"/>
          <w:b w:val="false"/>
          <w:i w:val="false"/>
          <w:color w:val="000000"/>
          <w:sz w:val="16"/>
        </w:rPr>
        <w:t xml:space="preserve">; </w:t>
      </w:r>
      <w:r>
        <w:rPr>
          <w:rFonts w:ascii="Times New Roman" w:hAnsi="Times New Roman"/>
          <w:b/>
          <w:i w:val="false"/>
          <w:color w:val="000000"/>
          <w:sz w:val="16"/>
        </w:rPr>
        <w:t>ARC 6310C</w:t>
      </w:r>
      <w:r>
        <w:rPr>
          <w:rFonts w:ascii="Times New Roman" w:hAnsi="Times New Roman"/>
          <w:b w:val="false"/>
          <w:i w:val="false"/>
          <w:color w:val="000000"/>
          <w:sz w:val="16"/>
        </w:rPr>
        <w:t>, IAB 5/4/22, effective 7/1/22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14B.1.pdf" Type="http://schemas.openxmlformats.org/officeDocument/2006/relationships/hyperlink" Id="rId4"/>
    <Relationship TargetMode="External" Target="https://www.legis.iowa.gov/docs/iac/rule/441.156.20.pdf" Type="http://schemas.openxmlformats.org/officeDocument/2006/relationships/hyperlink" Id="rId5"/>
    <Relationship TargetMode="External" Target="https://www.legis.iowa.gov/docs/iac/rule/441.78.12.pdf" Type="http://schemas.openxmlformats.org/officeDocument/2006/relationships/hyperlink" Id="rId6"/>
    <Relationship TargetMode="External" Target="https://www.legis.iowa.gov/docs/iac/rule/441.78.12.pdf" Type="http://schemas.openxmlformats.org/officeDocument/2006/relationships/hyperlink" Id="rId7"/>
    <Relationship TargetMode="External" Target="https://www.legis.iowa.gov/docs/iac/rule/441.77.12.pdf" Type="http://schemas.openxmlformats.org/officeDocument/2006/relationships/hyperlink" Id="rId8"/>
    <Relationship TargetMode="External" Target="https://www.legis.iowa.gov/docs/iac/rule/441.78.12.pdf" Type="http://schemas.openxmlformats.org/officeDocument/2006/relationships/hyperlink" Id="rId9"/>
    <Relationship TargetMode="External" Target="https://www.legis.iowa.gov/docs/iac/rule/441.78.12.pdf" Type="http://schemas.openxmlformats.org/officeDocument/2006/relationships/hyperlink" Id="rId10"/>
    <Relationship TargetMode="External" Target="https://www.legis.iowa.gov/docs/ico/chapter/249A.4.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