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441—78.11</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Ambulance service. </w:t>
      </w:r>
      <w:r>
        <w:rPr>
          <w:rFonts w:ascii="Times New Roman" w:hAnsi="Times New Roman"/>
          <w:b w:val="false"/>
          <w:i w:val="false"/>
          <w:color w:val="000000"/>
          <w:sz w:val="22"/>
        </w:rPr>
        <w:t>Payment will be approved for ambulance service if it is required by the recipient’s condition and the recipient is transported to the nearest hospital with appropriate facilities or to one in the same locality, from one hospital to another, to the patient’s home or to a nursing facility. Payment for ambulance service to the nearest hospital for outpatient service will be approved only for emergency treatment. Ambulance service must be medically necessary and not merely for the convenience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Partial payment may be made when an individual is transported beyond the destinations specified, and is limited to the amount that would have been paid had the individual been transported to the nearest institution with appropriate facilities. When transportation is to the patient’s home, partial payment is limited to the amount that would have been paid from the nearest institution with appropriate facilities. When a recipient who is a resident of a nursing care facility is hospitalized and later discharged from the hospital, payment will be made for the trip to the nursing care facility where the recipient resides even though it may not in fact be the nearest nursing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medical services unit shall determine that the ambulance transportation was medically necessary and that the condition of the patient precluded any other method of transportation. Payment can be made without the physician’s confirmation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admitted as a hospital inpatient or in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 information on file relating to the patient’s condition clearly indicates ambulance service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When a patient is transferred from one nursing home to another because of the closing of a facility or from a nursing home to a custodial home because the recipient no longer requires nursing care, the conditions of medical necessity and the distance requirements shall not be applicable. Approval for transfer shall be made by the local office of the department of human services prior to the transfer. When such a transfer is made, the following rate schedule shall apply:</w:t>
      </w:r>
    </w:p>
    <w:p>
      <w:pPr>
        <w:spacing w:before="0" w:after="0"/>
        <w:ind w:left="120"/>
        <w:jc w:val="both"/>
      </w:pPr>
      <w:r>
        <w:rPr>
          <w:rFonts w:ascii="Times New Roman" w:hAnsi="Times New Roman"/>
          <w:b w:val="false"/>
          <w:i w:val="false"/>
          <w:color w:val="000000"/>
          <w:sz w:val="22"/>
        </w:rPr>
        <w:t>One patient - normal allowance</w:t>
      </w:r>
    </w:p>
    <w:p>
      <w:pPr>
        <w:spacing w:before="0" w:after="0"/>
        <w:ind w:left="120"/>
        <w:jc w:val="both"/>
      </w:pPr>
      <w:r>
        <w:rPr>
          <w:rFonts w:ascii="Times New Roman" w:hAnsi="Times New Roman"/>
          <w:b w:val="false"/>
          <w:i w:val="false"/>
          <w:color w:val="000000"/>
          <w:sz w:val="22"/>
        </w:rPr>
        <w:t>Two patients - 3/4 normal allowance per patient</w:t>
      </w:r>
    </w:p>
    <w:p>
      <w:pPr>
        <w:spacing w:before="0" w:after="0"/>
        <w:ind w:left="120"/>
        <w:jc w:val="both"/>
      </w:pPr>
      <w:r>
        <w:rPr>
          <w:rFonts w:ascii="Times New Roman" w:hAnsi="Times New Roman"/>
          <w:b w:val="false"/>
          <w:i w:val="false"/>
          <w:color w:val="000000"/>
          <w:sz w:val="22"/>
        </w:rPr>
        <w:t>Three patients - 2/3 normal allowance per patient</w:t>
      </w:r>
    </w:p>
    <w:p>
      <w:pPr>
        <w:spacing w:before="0" w:after="0"/>
        <w:ind w:left="120"/>
        <w:jc w:val="both"/>
      </w:pPr>
      <w:r>
        <w:rPr>
          <w:rFonts w:ascii="Times New Roman" w:hAnsi="Times New Roman"/>
          <w:b w:val="false"/>
          <w:i w:val="false"/>
          <w:color w:val="000000"/>
          <w:sz w:val="22"/>
        </w:rPr>
        <w:t>Four patients - 5/8 normal allowance per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of hospital inpatients. When an ambulance service provides transport of a hospital inpatient to a provider and returns the recipient to the same hospital (the recipient continuing to be an inpatient of the hospital), the ambulance service shall bill the hospital for reimbursement as the hospital’s DRG reimbursement system includes all costs associated with providing inpatient services as stated in </w:t>
      </w:r>
      <w:hyperlink r:id="rId4">
        <w:r>
          <w:rPr>
            <w:rStyle w:val="Hyperlink"/>
            <w:rFonts w:ascii="Times New Roman" w:hAnsi="Times New Roman"/>
            <w:b w:val="false"/>
            <w:i w:val="false"/>
            <w:color w:val="000000"/>
            <w:sz w:val="22"/>
          </w:rPr>
          <w:t>441—paragraph 79.1(5)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ambulance service is called to provide ground ambulance transport, payment shall be made only to one ambulance company. When a paramedic from one ambulance service joins a ground ambulance company already in transport, coverage is not available for the services and supplies provided by the paramedic.</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9.1.pdf" Type="http://schemas.openxmlformats.org/officeDocument/2006/relationships/hyperlink" Id="rId4"/>
    <Relationship TargetMode="External" Target="https://www.legis.iowa.gov/docs/ico/chapter/249A.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