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441—7.9</w:t>
      </w:r>
      <w:r>
        <w:rPr>
          <w:rFonts w:ascii="Times New Roman" w:hAnsi="Times New Roman"/>
          <w:b/>
          <w:i w:val="false"/>
          <w:color w:val="000000"/>
          <w:sz w:val="22"/>
        </w:rPr>
        <w:t xml:space="preserve">(17A) </w:t>
      </w:r>
      <w:r>
        <w:rPr>
          <w:rFonts w:ascii="Times New Roman" w:hAnsi="Times New Roman"/>
          <w:b/>
          <w:i w:val="false"/>
          <w:color w:val="000000"/>
          <w:sz w:val="22"/>
        </w:rPr>
        <w:t xml:space="preserve">Miscellaneous rules governing contested case 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w:t>
      </w:r>
      <w:r>
        <w:rPr>
          <w:rFonts w:ascii="Times New Roman" w:hAnsi="Times New Roman"/>
          <w:b w:val="false"/>
          <w:i w:val="false"/>
          <w:color w:val="000000"/>
          <w:sz w:val="22"/>
        </w:rPr>
        <w:t> </w:t>
      </w:r>
      <w:r>
        <w:rPr>
          <w:rFonts w:ascii="Times New Roman" w:hAnsi="Times New Roman"/>
          <w:b w:val="false"/>
          <w:i/>
          <w:color w:val="000000"/>
          <w:sz w:val="22"/>
        </w:rPr>
        <w:t xml:space="preserve">Ex parte communication. </w:t>
      </w:r>
      <w:r>
        <w:rPr>
          <w:rFonts w:ascii="Times New Roman" w:hAnsi="Times New Roman"/>
          <w:b w:val="false"/>
          <w:i w:val="false"/>
          <w:color w:val="000000"/>
          <w:sz w:val="22"/>
        </w:rPr>
        <w:t xml:space="preserve">Ex parte communications between the presiding officer and person or party in connection with any issue of fact or law in the contested case proceeding is prohibited except as permitted by Iowa Code section </w:t>
      </w:r>
      <w:hyperlink r:id="rId4">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All of the provisions of Iowa Code section </w:t>
      </w:r>
      <w:hyperlink r:id="rId5">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apply.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w:t>
      </w:r>
      <w:r>
        <w:rPr>
          <w:rFonts w:ascii="Times New Roman" w:hAnsi="Times New Roman"/>
          <w:b w:val="false"/>
          <w:i w:val="false"/>
          <w:color w:val="000000"/>
          <w:sz w:val="22"/>
        </w:rPr>
        <w:t> </w:t>
      </w:r>
      <w:r>
        <w:rPr>
          <w:rFonts w:ascii="Times New Roman" w:hAnsi="Times New Roman"/>
          <w:b w:val="false"/>
          <w:i/>
          <w:color w:val="000000"/>
          <w:sz w:val="22"/>
        </w:rPr>
        <w:t xml:space="preserve">Default. </w:t>
      </w:r>
      <w:r>
        <w:rPr>
          <w:rFonts w:ascii="Times New Roman" w:hAnsi="Times New Roman"/>
          <w:b w:val="false"/>
          <w:i w:val="false"/>
          <w:color w:val="000000"/>
          <w:sz w:val="22"/>
        </w:rPr>
        <w:t xml:space="preserve">If a party fails to appear at a scheduled hearing or prehearing conference without good cause as determined by the presiding officer, the party’s appeals may be denied and dismissed or may be heard and ruled upon, consistent with Iowa Code section </w:t>
      </w:r>
      <w:hyperlink r:id="rId6">
        <w:r>
          <w:rPr>
            <w:rStyle w:val="Hyperlink"/>
            <w:rFonts w:ascii="Times New Roman" w:hAnsi="Times New Roman"/>
            <w:b w:val="false"/>
            <w:i w:val="false"/>
            <w:color w:val="000000"/>
            <w:sz w:val="22"/>
          </w:rPr>
          <w:t>17A.12(3)</w:t>
        </w:r>
      </w:hyperlink>
      <w:r>
        <w:rPr>
          <w:rFonts w:ascii="Times New Roman" w:hAnsi="Times New Roman"/>
          <w:b w:val="false"/>
          <w:i w:val="false"/>
          <w:color w:val="000000"/>
          <w:sz w:val="22"/>
        </w:rPr>
        <w:t>. Defaulting parties may file a timely motion to vacate, which shall be granted if the presiding officer determines good cause has been shown.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w:t>
      </w:r>
      <w:r>
        <w:rPr>
          <w:rFonts w:ascii="Times New Roman" w:hAnsi="Times New Roman"/>
          <w:b w:val="false"/>
          <w:i w:val="false"/>
          <w:color w:val="000000"/>
          <w:sz w:val="22"/>
        </w:rPr>
        <w:t> </w:t>
      </w:r>
      <w:r>
        <w:rPr>
          <w:rFonts w:ascii="Times New Roman" w:hAnsi="Times New Roman"/>
          <w:b w:val="false"/>
          <w:i/>
          <w:color w:val="000000"/>
          <w:sz w:val="22"/>
        </w:rPr>
        <w:t xml:space="preserve">Withdrawal. </w:t>
      </w:r>
      <w:r>
        <w:rPr>
          <w:rFonts w:ascii="Times New Roman" w:hAnsi="Times New Roman"/>
          <w:b w:val="false"/>
          <w:i w:val="false"/>
          <w:color w:val="000000"/>
          <w:sz w:val="22"/>
        </w:rPr>
        <w:t xml:space="preserve">An appellant may submit a withdrawal of a fair hearing request at any time prior to hearing through any of the methods identified in subrule </w:t>
      </w:r>
      <w:hyperlink r:id="rId7">
        <w:r>
          <w:rPr>
            <w:rStyle w:val="Hyperlink"/>
            <w:rFonts w:ascii="Times New Roman" w:hAnsi="Times New Roman"/>
            <w:b w:val="false"/>
            <w:i w:val="false"/>
            <w:color w:val="000000"/>
            <w:sz w:val="22"/>
          </w:rPr>
          <w:t>7.5(1)</w:t>
        </w:r>
      </w:hyperlink>
      <w:r>
        <w:rPr>
          <w:rFonts w:ascii="Times New Roman" w:hAnsi="Times New Roman"/>
          <w:b w:val="false"/>
          <w:i w:val="false"/>
          <w:color w:val="000000"/>
          <w:sz w:val="22"/>
        </w:rPr>
        <w:t xml:space="preserve">, except for programs listed in subrule </w:t>
      </w:r>
      <w:hyperlink r:id="rId8">
        <w:r>
          <w:rPr>
            <w:rStyle w:val="Hyperlink"/>
            <w:rFonts w:ascii="Times New Roman" w:hAnsi="Times New Roman"/>
            <w:b w:val="false"/>
            <w:i w:val="false"/>
            <w:color w:val="000000"/>
            <w:sz w:val="22"/>
          </w:rPr>
          <w:t>7.5(4)</w:t>
        </w:r>
      </w:hyperlink>
      <w:r>
        <w:rPr>
          <w:rFonts w:ascii="Times New Roman" w:hAnsi="Times New Roman"/>
          <w:b w:val="false"/>
          <w:i w:val="false"/>
          <w:color w:val="000000"/>
          <w:sz w:val="22"/>
        </w:rPr>
        <w:t xml:space="preserve">. For programs listed in subrule </w:t>
      </w:r>
      <w:hyperlink r:id="rId9">
        <w:r>
          <w:rPr>
            <w:rStyle w:val="Hyperlink"/>
            <w:rFonts w:ascii="Times New Roman" w:hAnsi="Times New Roman"/>
            <w:b w:val="false"/>
            <w:i w:val="false"/>
            <w:color w:val="000000"/>
            <w:sz w:val="22"/>
          </w:rPr>
          <w:t>7.5(4)</w:t>
        </w:r>
      </w:hyperlink>
      <w:r>
        <w:rPr>
          <w:rFonts w:ascii="Times New Roman" w:hAnsi="Times New Roman"/>
          <w:b w:val="false"/>
          <w:i w:val="false"/>
          <w:color w:val="000000"/>
          <w:sz w:val="22"/>
        </w:rPr>
        <w:t>, a written request may be submitted via the department’s website, by mail, in person, or through other commonly available electronic means (such as email or facsimile). Unless otherwise provided, a withdrawal shall be with prejudice.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w:t>
      </w:r>
      <w:r>
        <w:rPr>
          <w:rFonts w:ascii="Times New Roman" w:hAnsi="Times New Roman"/>
          <w:b w:val="false"/>
          <w:i w:val="false"/>
          <w:color w:val="000000"/>
          <w:sz w:val="22"/>
        </w:rPr>
        <w:t> </w:t>
      </w:r>
      <w:r>
        <w:rPr>
          <w:rFonts w:ascii="Times New Roman" w:hAnsi="Times New Roman"/>
          <w:b w:val="false"/>
          <w:i/>
          <w:color w:val="000000"/>
          <w:sz w:val="22"/>
        </w:rPr>
        <w:t xml:space="preserve">Medical assessment. </w:t>
      </w:r>
      <w:r>
        <w:rPr>
          <w:rFonts w:ascii="Times New Roman" w:hAnsi="Times New Roman"/>
          <w:b w:val="false"/>
          <w:i w:val="false"/>
          <w:color w:val="000000"/>
          <w:sz w:val="22"/>
        </w:rPr>
        <w:t>For Medicaid enrollees engaged in an appeal involving medical issues, the department may request, at the department’s own expense, that the appellant submit to an appropriate medical assessment. The presiding officer shall order such assessment upon sufficient showing of necessity.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7.9(5)</w:t>
      </w:r>
      <w:r>
        <w:rPr>
          <w:rFonts w:ascii="Times New Roman" w:hAnsi="Times New Roman"/>
          <w:b w:val="false"/>
          <w:i w:val="false"/>
          <w:color w:val="000000"/>
          <w:sz w:val="22"/>
        </w:rPr>
        <w:t> </w:t>
      </w:r>
      <w:r>
        <w:rPr>
          <w:rFonts w:ascii="Times New Roman" w:hAnsi="Times New Roman"/>
          <w:b w:val="false"/>
          <w:i/>
          <w:color w:val="000000"/>
          <w:sz w:val="22"/>
        </w:rPr>
        <w:t xml:space="preserve">Standard of review. </w:t>
      </w:r>
      <w:r>
        <w:rPr>
          <w:rFonts w:ascii="Times New Roman" w:hAnsi="Times New Roman"/>
          <w:b w:val="false"/>
          <w:i w:val="false"/>
          <w:color w:val="000000"/>
          <w:sz w:val="22"/>
        </w:rPr>
        <w:t>In child abuse appeals, the criteria and level of deference by which the presiding officer shall render a decision is based on a preponderance of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7.9(6)</w:t>
      </w:r>
      <w:r>
        <w:rPr>
          <w:rFonts w:ascii="Times New Roman" w:hAnsi="Times New Roman"/>
          <w:b w:val="false"/>
          <w:i w:val="false"/>
          <w:color w:val="000000"/>
          <w:sz w:val="22"/>
        </w:rPr>
        <w:t> </w:t>
      </w:r>
      <w:r>
        <w:rPr>
          <w:rFonts w:ascii="Times New Roman" w:hAnsi="Times New Roman"/>
          <w:b w:val="false"/>
          <w:i/>
          <w:color w:val="000000"/>
          <w:sz w:val="22"/>
        </w:rPr>
        <w:t xml:space="preserve">Interpreters. </w:t>
      </w:r>
      <w:r>
        <w:rPr>
          <w:rFonts w:ascii="Times New Roman" w:hAnsi="Times New Roman"/>
          <w:b w:val="false"/>
          <w:i w:val="false"/>
          <w:color w:val="000000"/>
          <w:sz w:val="22"/>
        </w:rPr>
        <w:t xml:space="preserve">The department shall provide translation and interpretation services to appellants, if requested. In all cases when an appellant is illiterate or semiliterate, the presiding officer shall advise the appellant of the appellant’s rights to the satisfaction of the appellant’s understanding.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7.9(7)</w:t>
      </w:r>
      <w:r>
        <w:rPr>
          <w:rFonts w:ascii="Times New Roman" w:hAnsi="Times New Roman"/>
          <w:b w:val="false"/>
          <w:i w:val="false"/>
          <w:color w:val="000000"/>
          <w:sz w:val="22"/>
        </w:rPr>
        <w:t> </w:t>
      </w:r>
      <w:r>
        <w:rPr>
          <w:rFonts w:ascii="Times New Roman" w:hAnsi="Times New Roman"/>
          <w:b w:val="false"/>
          <w:i/>
          <w:color w:val="000000"/>
          <w:sz w:val="22"/>
        </w:rPr>
        <w:t xml:space="preserve">Persons living with disabilities. </w:t>
      </w:r>
      <w:r>
        <w:rPr>
          <w:rFonts w:ascii="Times New Roman" w:hAnsi="Times New Roman"/>
          <w:b w:val="false"/>
          <w:i w:val="false"/>
          <w:color w:val="000000"/>
          <w:sz w:val="22"/>
        </w:rPr>
        <w:t xml:space="preserve">Persons living with disabilities shall be provided assistance through the use of auxiliary aids and services at no cost to the individual in accordance with the Americans with Disabilities Act (as amended to December 31, 2023) and </w:t>
      </w:r>
      <w:r>
        <w:rPr>
          <w:rFonts w:ascii="Times New Roman" w:hAnsi="Times New Roman"/>
          <w:b w:val="false"/>
          <w:i w:val="false"/>
          <w:color w:val="000000"/>
          <w:sz w:val="22"/>
        </w:rPr>
        <w:t>Section 504 of the Rehabilitation Act</w:t>
      </w:r>
      <w:r>
        <w:rPr>
          <w:rFonts w:ascii="Times New Roman" w:hAnsi="Times New Roman"/>
          <w:b w:val="false"/>
          <w:i w:val="false"/>
          <w:color w:val="000000"/>
          <w:sz w:val="22"/>
        </w:rPr>
        <w:t xml:space="preserve"> (as amended, effective October 1, 2016).</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7.pdf" Type="http://schemas.openxmlformats.org/officeDocument/2006/relationships/hyperlink" Id="rId4"/>
    <Relationship TargetMode="External" Target="https://www.legis.iowa.gov/docs/ico/chapter/17A.17.pdf" Type="http://schemas.openxmlformats.org/officeDocument/2006/relationships/hyperlink" Id="rId5"/>
    <Relationship TargetMode="External" Target="https://www.legis.iowa.gov/docs/ico/chapter/17A.12.pdf" Type="http://schemas.openxmlformats.org/officeDocument/2006/relationships/hyperlink" Id="rId6"/>
    <Relationship TargetMode="External" Target="https://www.legis.iowa.gov/docs/iac/rule/441.7.5.pdf" Type="http://schemas.openxmlformats.org/officeDocument/2006/relationships/hyperlink" Id="rId7"/>
    <Relationship TargetMode="External" Target="https://www.legis.iowa.gov/docs/iac/rule/441.7.5.pdf" Type="http://schemas.openxmlformats.org/officeDocument/2006/relationships/hyperlink" Id="rId8"/>
    <Relationship TargetMode="External" Target="https://www.legis.iowa.gov/docs/iac/rule/441.7.5.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