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Timelines for contested case hearings.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Medical assistance.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cases involving the determination of medical assistance, the contested case hearing shall be held within a time frame such that the final administrative action is timely pursuant to 42 CFR 431.244(f) as amended to December 8, 2021.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Community spouse resource allowance.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cases involving the determination of the community spouse resource allowance, the hearing shall be held within 30 days of the date of the appeal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Sex offender risk assessment.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cases involving an appeal of a sex offender risk assessment, the hearing or administrative review shall be held within 30 days of the date of the appeal request.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