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441—7.44</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Procedures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val="false"/>
          <w:color w:val="000000"/>
          <w:sz w:val="22"/>
        </w:rPr>
        <w:t>Discovery. 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val="false"/>
          <w:color w:val="000000"/>
          <w:sz w:val="22"/>
        </w:rPr>
        <w:t>Witnesses and exhibits. The parties shall contact each other regarding witnesses and exhibits at least ten days prior to the date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7.44(3)</w:t>
      </w:r>
      <w:r>
        <w:rPr>
          <w:rFonts w:ascii="Times New Roman" w:hAnsi="Times New Roman"/>
          <w:b w:val="false"/>
          <w:i w:val="false"/>
          <w:color w:val="000000"/>
          <w:sz w:val="22"/>
        </w:rPr>
        <w:t> </w:t>
      </w:r>
      <w:r>
        <w:rPr>
          <w:rFonts w:ascii="Times New Roman" w:hAnsi="Times New Roman"/>
          <w:b w:val="false"/>
          <w:i w:val="false"/>
          <w:color w:val="000000"/>
          <w:sz w:val="22"/>
        </w:rPr>
        <w:t>Amendments to notice of appeal. The aggrieved bidder may amend the grounds upon which the bidder challenges the department’s award no later than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7.44(4)</w:t>
      </w:r>
      <w:r>
        <w:rPr>
          <w:rFonts w:ascii="Times New Roman" w:hAnsi="Times New Roman"/>
          <w:b w:val="false"/>
          <w:i w:val="false"/>
          <w:color w:val="000000"/>
          <w:sz w:val="22"/>
        </w:rPr>
        <w:t> </w:t>
      </w:r>
      <w:r>
        <w:rPr>
          <w:rFonts w:ascii="Times New Roman" w:hAnsi="Times New Roman"/>
          <w:b w:val="false"/>
          <w:i w:val="false"/>
          <w:color w:val="000000"/>
          <w:sz w:val="22"/>
        </w:rPr>
        <w:t>If the hearing is not conducted in person, the parties must deliver all exhibits to the office of the presiding officer at least three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issue a proposed decision in writing that includes findings of fact and conclusions of law stated separately. The decision shall be based on the record of the contested case and shall conform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presiding officer shall send the proposed decision to the appellant and representative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shall include all materials specified in Iowa Code section </w:t>
      </w:r>
      <w:hyperlink r:id="rId5">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1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