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441—7.3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When a contested case hearing will be granted.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7.3(1)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Requirements.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person shall be granted a contested case hearing if the party-in-interest fulfills all of the following requirements: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party-in-interest is entitled to a contested case hearing;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party-in-interest has an ongoing, specific and personal interest in the outcome of the contested case hearing; and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party-in-interest meets all of the other requirements contained in these rules.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Refusal to process an application.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Unless otherwise provided by law, when an appellant seeks a contested case hearing after the department refuses to process an application for benefits or services, a hearing shall be granted.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7.3(3)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When a hearing is not granted.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hearing shall not be granted when one of the following issues is appealed: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Patient treatment interventions outlined in the patient handbook of the civil commitment unit for sexual offenders.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Children have been removed from or placed in a specific foster care setting or preadoptive placement.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final decision from a previous hearing with a presiding officer has been implemented.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7.3(4)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Contractual rights not subject to contested case hearing.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Unless otherwise provided by law, when an appellant seeks a contested case hearing of an issue predicated upon or governed by the terms of a contract between appellant and another party, including the department, a contested case hearing shall not be provided.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7.3(5)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Change in law.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contested case hearing shall not be granted when the sole issue raised is a federal or state law requiring an automatic change adversely affecting some or all beneficiaries to an assistance program.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7.3(6)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Competitive procurement bid appeals.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Competitive procurement bid appeals shall be adjudicated pursuant to Division II of this chapter.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8045C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5/29/24, effective 7/3/24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