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441—7.16</w:t>
      </w:r>
      <w:r>
        <w:rPr>
          <w:rFonts w:ascii="Times New Roman" w:hAnsi="Times New Roman"/>
          <w:b/>
          <w:i w:val="false"/>
          <w:color w:val="000000"/>
          <w:sz w:val="22"/>
        </w:rPr>
        <w:t xml:space="preserve">(17A) </w:t>
      </w:r>
      <w:r>
        <w:rPr>
          <w:rFonts w:ascii="Times New Roman" w:hAnsi="Times New Roman"/>
          <w:b/>
          <w:i w:val="false"/>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 xml:space="preserve">The provisions of this rule only apply to the extent the standards expressed in this rule are not in conflict with other state or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shall be sufficient for a delegate to serve as authorized representative under this chapter. A person who is not designated a legally recognized delegation of authority but who otherwise seeks to act as an authorized representative for an individual in an appeal under this chapter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color w:val="000000"/>
          <w:sz w:val="22"/>
        </w:rPr>
        <w:t xml:space="preserve">Written designation. </w:t>
      </w:r>
      <w:r>
        <w:rPr>
          <w:rFonts w:ascii="Times New Roman" w:hAnsi="Times New Roman"/>
          <w:b w:val="false"/>
          <w:i w:val="false"/>
          <w:color w:val="000000"/>
          <w:sz w:val="22"/>
        </w:rPr>
        <w:t xml:space="preserve">For persons other than attorneys seeking to act as authorized representative of a party-in-interest in a Medicaid managed care appeal, the authorized representative’s written designation of authority pursuant to subrule </w:t>
      </w:r>
      <w:hyperlink r:id="rId4">
        <w:r>
          <w:rPr>
            <w:rStyle w:val="Hyperlink"/>
            <w:rFonts w:ascii="Times New Roman" w:hAnsi="Times New Roman"/>
            <w:b w:val="false"/>
            <w:i w:val="false"/>
            <w:color w:val="000000"/>
            <w:sz w:val="22"/>
          </w:rPr>
          <w:t>7.16(2)</w:t>
        </w:r>
      </w:hyperlink>
      <w:r>
        <w:rPr>
          <w:rFonts w:ascii="Times New Roman" w:hAnsi="Times New Roman"/>
          <w:b w:val="false"/>
          <w:i w:val="false"/>
          <w:color w:val="000000"/>
          <w:sz w:val="22"/>
        </w:rPr>
        <w:t xml:space="preserve"> shall be Form 470-5526, Authorized Representative for Managed Care Appeals. This form is required for all managed care appeals, including those handled through the expedited appeals process. Failure to provide the form or legal documentation may result in denial of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chapter shall enter an appropriate written appearance.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