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441—7.10</w:t>
      </w:r>
      <w:r>
        <w:rPr>
          <w:rFonts w:ascii="Times New Roman" w:hAnsi="Times New Roman"/>
          <w:b/>
          <w:i w:val="false"/>
          <w:color w:val="000000"/>
          <w:sz w:val="22"/>
        </w:rPr>
        <w:t xml:space="preserve">(17A) </w:t>
      </w:r>
      <w:r>
        <w:rPr>
          <w:rFonts w:ascii="Times New Roman" w:hAnsi="Times New Roman"/>
          <w:b/>
          <w:i w:val="false"/>
          <w:color w:val="000000"/>
          <w:sz w:val="22"/>
        </w:rPr>
        <w:t xml:space="preserve">Proposed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The presiding officer shall issue a written proposed decision to all parties clearly identifying the issues on appeal, holding, findings of fact, conclusions of law, and order. The findings of fact shall cite and be based exclusively on the record as defined by Iowa Code section </w:t>
      </w:r>
      <w:hyperlink r:id="rId4">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The conclusions of law shall be limited to the contested issues of fact, policy or law and shall identify the specific provisions of law that support the ultimate conclusion.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 </w:t>
      </w:r>
      <w:r>
        <w:rPr>
          <w:rFonts w:ascii="Times New Roman" w:hAnsi="Times New Roman"/>
          <w:b w:val="false"/>
          <w:i w:val="false"/>
          <w:color w:val="000000"/>
          <w:sz w:val="22"/>
        </w:rPr>
        <w:t>After receiving the proposed decision, appellants shall be given reasonable access to the record at a convenient place and time.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