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441—16.2</w:t>
      </w:r>
      <w:r>
        <w:rPr>
          <w:rFonts w:ascii="Times New Roman" w:hAnsi="Times New Roman"/>
          <w:b/>
          <w:i w:val="false"/>
          <w:color w:val="000000"/>
          <w:sz w:val="22"/>
        </w:rPr>
        <w:t xml:space="preserve">(17A) </w:t>
      </w:r>
      <w:r>
        <w:rPr>
          <w:rFonts w:ascii="Times New Roman" w:hAnsi="Times New Roman"/>
          <w:b/>
          <w:i w:val="false"/>
          <w:color w:val="000000"/>
          <w:sz w:val="22"/>
        </w:rPr>
        <w:t xml:space="preserve">Notices.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16.2(1)</w:t>
      </w:r>
      <w:r>
        <w:rPr>
          <w:rFonts w:ascii="Times New Roman" w:hAnsi="Times New Roman"/>
          <w:b w:val="false"/>
          <w:i w:val="false"/>
          <w:color w:val="000000"/>
          <w:sz w:val="22"/>
        </w:rPr>
        <w:t> </w:t>
      </w:r>
      <w:r>
        <w:rPr>
          <w:rFonts w:ascii="Times New Roman" w:hAnsi="Times New Roman"/>
          <w:b w:val="false"/>
          <w:i/>
          <w:color w:val="000000"/>
          <w:sz w:val="22"/>
        </w:rPr>
        <w:t xml:space="preserve">Written timely and adequate notice. </w:t>
      </w:r>
      <w:r>
        <w:rPr>
          <w:rFonts w:ascii="Times New Roman" w:hAnsi="Times New Roman"/>
          <w:b w:val="false"/>
          <w:i w:val="false"/>
          <w:color w:val="000000"/>
          <w:sz w:val="22"/>
        </w:rPr>
        <w:t>When required by federal or state law, the department will provide written timely and adequate notice of the right to appeal any adverse benefit determination that affects an individual who is applying for, or receiving benefits from, an assistance program. The department will also provide written timely notice of pending actions for a state or federal tax or debtor offset.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16.2(2)</w:t>
      </w:r>
      <w:r>
        <w:rPr>
          <w:rFonts w:ascii="Times New Roman" w:hAnsi="Times New Roman"/>
          <w:b w:val="false"/>
          <w:i w:val="false"/>
          <w:color w:val="000000"/>
          <w:sz w:val="22"/>
        </w:rPr>
        <w:t> </w:t>
      </w:r>
      <w:r>
        <w:rPr>
          <w:rFonts w:ascii="Times New Roman" w:hAnsi="Times New Roman"/>
          <w:b w:val="false"/>
          <w:i/>
          <w:color w:val="000000"/>
          <w:sz w:val="22"/>
        </w:rPr>
        <w:t xml:space="preserve">Adequate notice. </w:t>
      </w:r>
      <w:r>
        <w:rPr>
          <w:rFonts w:ascii="Times New Roman" w:hAnsi="Times New Roman"/>
          <w:b w:val="false"/>
          <w:i w:val="false"/>
          <w:color w:val="000000"/>
          <w:sz w:val="22"/>
        </w:rPr>
        <w:t>The department shall give adequate notice of the approval or denial of assistance or services; the approval or denial of a license, certification, approval, registration, or accreditation.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16.2(3)</w:t>
      </w:r>
      <w:r>
        <w:rPr>
          <w:rFonts w:ascii="Times New Roman" w:hAnsi="Times New Roman"/>
          <w:b w:val="false"/>
          <w:i w:val="false"/>
          <w:color w:val="000000"/>
          <w:sz w:val="22"/>
        </w:rPr>
        <w:t> </w:t>
      </w:r>
      <w:r>
        <w:rPr>
          <w:rFonts w:ascii="Times New Roman" w:hAnsi="Times New Roman"/>
          <w:b w:val="false"/>
          <w:i/>
          <w:color w:val="000000"/>
          <w:sz w:val="22"/>
        </w:rPr>
        <w:t xml:space="preserve">Dispensing with timely notice. </w:t>
      </w:r>
      <w:r>
        <w:rPr>
          <w:rFonts w:ascii="Times New Roman" w:hAnsi="Times New Roman"/>
          <w:b w:val="false"/>
          <w:i w:val="false"/>
          <w:color w:val="000000"/>
          <w:sz w:val="22"/>
        </w:rPr>
        <w:t>Timely notice may be dispensed with, but adequate notice shall be sent no later than the date benefits would have been issued,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is factual information confirming the death of the enrollee or of the family investment program payee and there is no relative available to serve as a new payee.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enrollee provides a clear written, signed statement that the enrollee no longer wishes to receive assistance, or gives information that requires termination or reduction of assistance, and the enrollee has indicated, in writing, that the enrollee understands that the consequence of supplying the information is termination or reduction of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enrollee has been admitted or committed to an institution that does not qualify for payment under an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enrollee has been placed in skilled nursing care, intermediate care, or long-term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whereabouts of the enrollee are unknown and mail directed to the enrollee has been returned by the post office indicating no known forwarding address. When the whereabouts of the enrollee become known during the payment period covered by the returned warrant, the warrant shall be made available to the enrollee.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department establishes that the enrollee has been accepted for assistance in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Cash assistance or food assistance is changed because a child is removed from the home as a result of a judicial determination or is voluntarily placed in foster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 change in the level of medical care is prescribed by the enrollee’s physician.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 special allowance or service granted for a specific period is terminated and the enrollee has been informed in writing at the time of initiation that the allowance or service shall terminate at the end of the specified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The notice involves an adverse determination made with regard to the preadmission screening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or reduces benefits or makes changes as described at </w:t>
      </w:r>
      <w:hyperlink r:id="rId4">
        <w:r>
          <w:rPr>
            <w:rStyle w:val="Hyperlink"/>
            <w:rFonts w:ascii="Times New Roman" w:hAnsi="Times New Roman"/>
            <w:b w:val="false"/>
            <w:i w:val="false"/>
            <w:color w:val="000000"/>
            <w:sz w:val="22"/>
          </w:rPr>
          <w:t>441—subrule 40.27(3)</w:t>
        </w:r>
      </w:hyperlink>
      <w:r>
        <w:rPr>
          <w:rFonts w:ascii="Times New Roman" w:hAnsi="Times New Roman"/>
          <w:b w:val="false"/>
          <w:i w:val="false"/>
          <w:color w:val="000000"/>
          <w:sz w:val="22"/>
        </w:rPr>
        <w:t xml:space="preserve"> or rule </w:t>
      </w:r>
      <w:hyperlink r:id="rId5">
        <w:r>
          <w:rPr>
            <w:rStyle w:val="Hyperlink"/>
            <w:rFonts w:ascii="Times New Roman" w:hAnsi="Times New Roman"/>
            <w:b w:val="false"/>
            <w:i w:val="false"/>
            <w:color w:val="000000"/>
            <w:sz w:val="22"/>
          </w:rPr>
          <w:t>441—75.52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terminates benefits for failure to return a completed report form, as described in paragraph </w:t>
      </w:r>
      <w:hyperlink r:id="rId6">
        <w:r>
          <w:rPr>
            <w:rStyle w:val="Hyperlink"/>
            <w:rFonts w:ascii="Times New Roman" w:hAnsi="Times New Roman"/>
            <w:b w:val="false"/>
            <w:i w:val="false"/>
            <w:color w:val="000000"/>
            <w:sz w:val="22"/>
          </w:rPr>
          <w:t>16.3(3)</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The department approves or denies an application for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The department implements a mass change based on law or rule changes that affect a group of enrollees.</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8045C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441.40.27.pdf" Type="http://schemas.openxmlformats.org/officeDocument/2006/relationships/hyperlink" Id="rId4"/>
    <Relationship TargetMode="External" Target="https://www.legis.iowa.gov/docs/iac/rule/441.75.52.pdf" Type="http://schemas.openxmlformats.org/officeDocument/2006/relationships/hyperlink" Id="rId5"/>
    <Relationship TargetMode="External" Target="https://www.legis.iowa.gov/docs/iac/rule/441.16.3.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