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441—156.6</w:t>
      </w:r>
      <w:r>
        <w:rPr>
          <w:rFonts w:ascii="Times New Roman" w:hAnsi="Times New Roman"/>
          <w:b/>
          <w:i w:val="false"/>
          <w:color w:val="000000"/>
          <w:sz w:val="22"/>
        </w:rPr>
        <w:t xml:space="preserve">(234) </w:t>
      </w:r>
      <w:r>
        <w:rPr>
          <w:rFonts w:ascii="Times New Roman" w:hAnsi="Times New Roman"/>
          <w:b/>
          <w:i w:val="false"/>
          <w:color w:val="000000"/>
          <w:sz w:val="22"/>
        </w:rPr>
        <w:t xml:space="preserve">Rate of maintenance payment for foster family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156.6(1)</w:t>
      </w:r>
      <w:r>
        <w:rPr>
          <w:rFonts w:ascii="Times New Roman" w:hAnsi="Times New Roman"/>
          <w:b w:val="false"/>
          <w:i w:val="false"/>
          <w:color w:val="000000"/>
          <w:sz w:val="22"/>
        </w:rPr>
        <w:t> </w:t>
      </w:r>
      <w:r>
        <w:rPr>
          <w:rFonts w:ascii="Times New Roman" w:hAnsi="Times New Roman"/>
          <w:b w:val="false"/>
          <w:i/>
          <w:color w:val="000000"/>
          <w:sz w:val="22"/>
        </w:rPr>
        <w:t xml:space="preserve">Basic rate. </w:t>
      </w:r>
      <w:r>
        <w:rPr>
          <w:rFonts w:ascii="Times New Roman" w:hAnsi="Times New Roman"/>
          <w:b w:val="false"/>
          <w:i w:val="false"/>
          <w:color w:val="000000"/>
          <w:sz w:val="22"/>
        </w:rPr>
        <w:t>A monthly payment for care in a foster family home licensed in Iowa shall be made to the foster family based on the following schedule:</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Age of child</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Daily rate</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 through 5</w:t>
            </w:r>
          </w:p>
        </w:tc>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$16.78</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 through 11</w:t>
            </w:r>
          </w:p>
        </w:tc>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$17.45</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 through 15</w:t>
            </w:r>
          </w:p>
        </w:tc>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$19.10</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16 or over</w:t>
            </w:r>
          </w:p>
        </w:tc>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$19.35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156.6(2)</w:t>
      </w:r>
      <w:r>
        <w:rPr>
          <w:rFonts w:ascii="Times New Roman" w:hAnsi="Times New Roman"/>
          <w:b w:val="false"/>
          <w:i w:val="false"/>
          <w:color w:val="000000"/>
          <w:sz w:val="22"/>
        </w:rPr>
        <w:t> </w:t>
      </w:r>
      <w:r>
        <w:rPr>
          <w:rFonts w:ascii="Times New Roman" w:hAnsi="Times New Roman"/>
          <w:b w:val="false"/>
          <w:i/>
          <w:color w:val="000000"/>
          <w:sz w:val="22"/>
        </w:rPr>
        <w:t xml:space="preserve">Out-of-state rate. </w:t>
      </w:r>
      <w:r>
        <w:rPr>
          <w:rFonts w:ascii="Times New Roman" w:hAnsi="Times New Roman"/>
          <w:b w:val="false"/>
          <w:i w:val="false"/>
          <w:color w:val="000000"/>
          <w:sz w:val="22"/>
        </w:rPr>
        <w:t>A monthly payment for care in a foster family home licensed or approved in another state shall be made to the foster family based on the rate schedule in effect in Iowa, except that the service area manager or designee may authorize a payment to the foster family at the rate in effect in the other state if the child’s family lives in that state and the goal is to reunite the child with the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156.6(3)</w:t>
      </w:r>
      <w:r>
        <w:rPr>
          <w:rFonts w:ascii="Times New Roman" w:hAnsi="Times New Roman"/>
          <w:b w:val="false"/>
          <w:i w:val="false"/>
          <w:color w:val="000000"/>
          <w:sz w:val="22"/>
        </w:rPr>
        <w:t> </w:t>
      </w:r>
      <w:r>
        <w:rPr>
          <w:rFonts w:ascii="Times New Roman" w:hAnsi="Times New Roman"/>
          <w:b w:val="false"/>
          <w:i/>
          <w:color w:val="000000"/>
          <w:sz w:val="22"/>
        </w:rPr>
        <w:t xml:space="preserve">Mother and child in foster care. </w:t>
      </w:r>
      <w:r>
        <w:rPr>
          <w:rFonts w:ascii="Times New Roman" w:hAnsi="Times New Roman"/>
          <w:b w:val="false"/>
          <w:i w:val="false"/>
          <w:color w:val="000000"/>
          <w:sz w:val="22"/>
        </w:rPr>
        <w:t xml:space="preserve">When the child in foster care is a mother whose young child is in placement with her, the rate paid to the foster family shall be based on the daily rate for the mother according to the rate schedule in subrules </w:t>
      </w:r>
      <w:hyperlink r:id="rId4">
        <w:r>
          <w:rPr>
            <w:rStyle w:val="Hyperlink"/>
            <w:rFonts w:ascii="Times New Roman" w:hAnsi="Times New Roman"/>
            <w:b w:val="false"/>
            <w:i w:val="false"/>
            <w:color w:val="000000"/>
            <w:sz w:val="22"/>
          </w:rPr>
          <w:t>156.6(1)</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156.6(4)</w:t>
        </w:r>
      </w:hyperlink>
      <w:r>
        <w:rPr>
          <w:rFonts w:ascii="Times New Roman" w:hAnsi="Times New Roman"/>
          <w:b w:val="false"/>
          <w:i w:val="false"/>
          <w:color w:val="000000"/>
          <w:sz w:val="22"/>
        </w:rPr>
        <w:t xml:space="preserve"> and for the child according to the rate schedule in subrule </w:t>
      </w:r>
      <w:hyperlink r:id="rId6">
        <w:r>
          <w:rPr>
            <w:rStyle w:val="Hyperlink"/>
            <w:rFonts w:ascii="Times New Roman" w:hAnsi="Times New Roman"/>
            <w:b w:val="false"/>
            <w:i w:val="false"/>
            <w:color w:val="000000"/>
            <w:sz w:val="22"/>
          </w:rPr>
          <w:t>156.6(1)</w:t>
        </w:r>
      </w:hyperlink>
      <w:r>
        <w:rPr>
          <w:rFonts w:ascii="Times New Roman" w:hAnsi="Times New Roman"/>
          <w:b w:val="false"/>
          <w:i w:val="false"/>
          <w:color w:val="000000"/>
          <w:sz w:val="22"/>
        </w:rPr>
        <w:t>. The foster parents shall provide a portion of the young child’s rate to the mother to meet the partial maintenance needs of the young child as defined in the case permanency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156.6(4)</w:t>
      </w:r>
      <w:r>
        <w:rPr>
          <w:rFonts w:ascii="Times New Roman" w:hAnsi="Times New Roman"/>
          <w:b w:val="false"/>
          <w:i w:val="false"/>
          <w:color w:val="000000"/>
          <w:sz w:val="22"/>
        </w:rPr>
        <w:t> </w:t>
      </w:r>
      <w:r>
        <w:rPr>
          <w:rFonts w:ascii="Times New Roman" w:hAnsi="Times New Roman"/>
          <w:b w:val="false"/>
          <w:i/>
          <w:color w:val="000000"/>
          <w:sz w:val="22"/>
        </w:rPr>
        <w:t xml:space="preserve">Difficulty of care payment.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placements made before January 1, 2007, when foster parents provide care to a special needs child, the foster family shall be paid the basic maintenance rate plus $5 per day for extra expenses associated with the child’s special needs. This rate shall continue for the duration of the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foster family provides care to a sibling group of three or more children, an additional payment of $1 per day per child may be authorized for each nonspecial needs child in the sibling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foster family’s responsibilities in the case permanency plan include providing transportation related to family or preplacement visits outside the community in which the foster family lives, the department caseworker may authorize an additional maintenance payment of $1 per day. Expenses over the monthly amount may be reimbursed with prior approval by the department caseworker. Eligible expenses shall include the actual cost of the most reasonable passenger fare or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placements made on or after January 1, 2007, the supervisor may approve an additional maintenance payment above the basic rate in subrule </w:t>
      </w:r>
      <w:hyperlink r:id="rId7">
        <w:r>
          <w:rPr>
            <w:rStyle w:val="Hyperlink"/>
            <w:rFonts w:ascii="Times New Roman" w:hAnsi="Times New Roman"/>
            <w:b w:val="false"/>
            <w:i w:val="false"/>
            <w:color w:val="000000"/>
            <w:sz w:val="22"/>
          </w:rPr>
          <w:t>156.6(1)</w:t>
        </w:r>
      </w:hyperlink>
      <w:r>
        <w:rPr>
          <w:rFonts w:ascii="Times New Roman" w:hAnsi="Times New Roman"/>
          <w:b w:val="false"/>
          <w:i w:val="false"/>
          <w:color w:val="000000"/>
          <w:sz w:val="22"/>
        </w:rPr>
        <w:t xml:space="preserve"> to meet the child’s special needs as identified by the child’s score on Form 470-4401. The department caseworker shall complete Form 470-4401 within 30 days of the child’s initial entry into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Additional maintenance payments made under this paragraph shall begin no earlier than the first day of the month following the month in which Form 470-4401 is completed and shall be awarded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Behavioral needs rated at level 1 qualify for a payment of $4.81 per day.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Behavioral needs rated at level 2 qualify for a payment of $9.62 per day.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Behavioral needs rated at level 3 qualify for a payment of $14.44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review the child’s need for this difficulty of care maintenance payment using Form 470-4401:</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Whenever the child’s behavior changes significantly;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When the child’s placement changes;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After termination of parental rights, in preparation for negotiating an adoption subsidy or pre-subsidy payment;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Before a court hearing on guardianship subsidy.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maintenance payments, including difficulty of care payments, shall be documented on Form 470-0716.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156.6(5)</w:t>
      </w:r>
      <w:r>
        <w:rPr>
          <w:rFonts w:ascii="Times New Roman" w:hAnsi="Times New Roman"/>
          <w:b w:val="false"/>
          <w:i w:val="false"/>
          <w:color w:val="000000"/>
          <w:sz w:val="22"/>
        </w:rPr>
        <w:t> </w:t>
      </w:r>
      <w:r>
        <w:rPr>
          <w:rFonts w:ascii="Times New Roman" w:hAnsi="Times New Roman"/>
          <w:b w:val="false"/>
          <w:i/>
          <w:color w:val="000000"/>
          <w:sz w:val="22"/>
        </w:rPr>
        <w:t xml:space="preserve">Payment method. </w:t>
      </w:r>
      <w:r>
        <w:rPr>
          <w:rFonts w:ascii="Times New Roman" w:hAnsi="Times New Roman"/>
          <w:b w:val="false"/>
          <w:i w:val="false"/>
          <w:color w:val="000000"/>
          <w:sz w:val="22"/>
        </w:rPr>
        <w:t>All foster family maintenance payments shall be made directly to the foster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156.6(6)</w:t>
      </w:r>
      <w:r>
        <w:rPr>
          <w:rFonts w:ascii="Times New Roman" w:hAnsi="Times New Roman"/>
          <w:b w:val="false"/>
          <w:i w:val="false"/>
          <w:color w:val="000000"/>
          <w:sz w:val="22"/>
        </w:rPr>
        <w:t> </w:t>
      </w:r>
      <w:r>
        <w:rPr>
          <w:rFonts w:ascii="Times New Roman" w:hAnsi="Times New Roman"/>
          <w:b w:val="false"/>
          <w:i/>
          <w:color w:val="000000"/>
          <w:sz w:val="22"/>
        </w:rPr>
        <w:t xml:space="preserve">Return of overpayments. </w:t>
      </w:r>
      <w:r>
        <w:rPr>
          <w:rFonts w:ascii="Times New Roman" w:hAnsi="Times New Roman"/>
          <w:b w:val="false"/>
          <w:i w:val="false"/>
          <w:color w:val="000000"/>
          <w:sz w:val="22"/>
        </w:rPr>
        <w:t>When a foster family has received payments in excess of those allowed under this chapter, the department caseworker shall ask the foster family to return the overpayment. If the foster family is returning the overpayment to the department, the department caseworker will note the monthly amount the foster family agrees to pay in the family’s case file. The amount returned shall not be less than $50 per month.</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234.38</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2013 Iowa Acts, Senate File 446, sections 18 and 19</w:t>
      </w:r>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8451B</w:t>
      </w:r>
      <w:r>
        <w:rPr>
          <w:rFonts w:ascii="Times New Roman" w:hAnsi="Times New Roman"/>
          <w:b w:val="false"/>
          <w:i w:val="false"/>
          <w:color w:val="000000"/>
          <w:sz w:val="16"/>
        </w:rPr>
        <w:t>, IAB 1/13/10,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8653B</w:t>
      </w:r>
      <w:r>
        <w:rPr>
          <w:rFonts w:ascii="Times New Roman" w:hAnsi="Times New Roman"/>
          <w:b w:val="false"/>
          <w:i w:val="false"/>
          <w:color w:val="000000"/>
          <w:sz w:val="16"/>
        </w:rPr>
        <w:t>, IAB 4/7/10, effective 5/12/10</w:t>
      </w:r>
      <w:r>
        <w:rPr>
          <w:rFonts w:ascii="Times New Roman" w:hAnsi="Times New Roman"/>
          <w:b w:val="false"/>
          <w:i w:val="false"/>
          <w:color w:val="000000"/>
          <w:sz w:val="16"/>
        </w:rPr>
        <w:t xml:space="preserve">; </w:t>
      </w:r>
      <w:r>
        <w:rPr>
          <w:rFonts w:ascii="Times New Roman" w:hAnsi="Times New Roman"/>
          <w:b/>
          <w:i w:val="false"/>
          <w:color w:val="000000"/>
          <w:sz w:val="16"/>
        </w:rPr>
        <w:t>ARC 8904B</w:t>
      </w:r>
      <w:r>
        <w:rPr>
          <w:rFonts w:ascii="Times New Roman" w:hAnsi="Times New Roman"/>
          <w:b w:val="false"/>
          <w:i w:val="false"/>
          <w:color w:val="000000"/>
          <w:sz w:val="16"/>
        </w:rPr>
        <w:t>, IAB 6/30/10,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9778B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0240C</w:t>
      </w:r>
      <w:r>
        <w:rPr>
          <w:rFonts w:ascii="Times New Roman" w:hAnsi="Times New Roman"/>
          <w:b w:val="false"/>
          <w:i w:val="false"/>
          <w:color w:val="000000"/>
          <w:sz w:val="16"/>
        </w:rPr>
        <w:t>, IAB 8/8/12, effective 7/11/12</w:t>
      </w:r>
      <w:r>
        <w:rPr>
          <w:rFonts w:ascii="Times New Roman" w:hAnsi="Times New Roman"/>
          <w:b w:val="false"/>
          <w:i w:val="false"/>
          <w:color w:val="000000"/>
          <w:sz w:val="16"/>
        </w:rPr>
        <w:t xml:space="preserve">; </w:t>
      </w:r>
      <w:r>
        <w:rPr>
          <w:rFonts w:ascii="Times New Roman" w:hAnsi="Times New Roman"/>
          <w:b/>
          <w:i w:val="false"/>
          <w:color w:val="000000"/>
          <w:sz w:val="16"/>
        </w:rPr>
        <w:t>ARC 0419C</w:t>
      </w:r>
      <w:r>
        <w:rPr>
          <w:rFonts w:ascii="Times New Roman" w:hAnsi="Times New Roman"/>
          <w:b w:val="false"/>
          <w:i w:val="false"/>
          <w:color w:val="000000"/>
          <w:sz w:val="16"/>
        </w:rPr>
        <w:t>, IAB 10/31/12, effective 12/5/12</w:t>
      </w:r>
      <w:r>
        <w:rPr>
          <w:rFonts w:ascii="Times New Roman" w:hAnsi="Times New Roman"/>
          <w:b w:val="false"/>
          <w:i w:val="false"/>
          <w:color w:val="000000"/>
          <w:sz w:val="16"/>
        </w:rPr>
        <w:t xml:space="preserve">; </w:t>
      </w:r>
      <w:r>
        <w:rPr>
          <w:rFonts w:ascii="Times New Roman" w:hAnsi="Times New Roman"/>
          <w:b/>
          <w:i w:val="false"/>
          <w:color w:val="000000"/>
          <w:sz w:val="16"/>
        </w:rPr>
        <w:t>ARC 0858C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1061C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2885C</w:t>
      </w:r>
      <w:r>
        <w:rPr>
          <w:rFonts w:ascii="Times New Roman" w:hAnsi="Times New Roman"/>
          <w:b w:val="false"/>
          <w:i w:val="false"/>
          <w:color w:val="000000"/>
          <w:sz w:val="16"/>
        </w:rPr>
        <w:t>, IAB 1/4/17, effective 3/1/17</w:t>
      </w:r>
      <w:r>
        <w:rPr>
          <w:rFonts w:ascii="Times New Roman" w:hAnsi="Times New Roman"/>
          <w:b w:val="false"/>
          <w:i w:val="false"/>
          <w:color w:val="000000"/>
          <w:sz w:val="16"/>
        </w:rPr>
        <w:t xml:space="preserve">; </w:t>
      </w:r>
      <w:r>
        <w:rPr>
          <w:rFonts w:ascii="Times New Roman" w:hAnsi="Times New Roman"/>
          <w:b/>
          <w:i w:val="false"/>
          <w:color w:val="000000"/>
          <w:sz w:val="16"/>
        </w:rPr>
        <w:t>ARC 6964C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156.6.pdf" Type="http://schemas.openxmlformats.org/officeDocument/2006/relationships/hyperlink" Id="rId4"/>
    <Relationship TargetMode="External" Target="https://www.legis.iowa.gov/docs/iac/rule/441.156.6.pdf" Type="http://schemas.openxmlformats.org/officeDocument/2006/relationships/hyperlink" Id="rId5"/>
    <Relationship TargetMode="External" Target="https://www.legis.iowa.gov/docs/iac/rule/441.156.6.pdf" Type="http://schemas.openxmlformats.org/officeDocument/2006/relationships/hyperlink" Id="rId6"/>
    <Relationship TargetMode="External" Target="https://www.legis.iowa.gov/docs/iac/rule/441.156.6.pdf" Type="http://schemas.openxmlformats.org/officeDocument/2006/relationships/hyperlink" Id="rId7"/>
    <Relationship TargetMode="External" Target="https://www.legis.iowa.gov/docs/ico/chapter/234.38.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