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441—103.6</w:t>
      </w:r>
      <w:r>
        <w:rPr>
          <w:rFonts w:ascii="Times New Roman" w:hAnsi="Times New Roman"/>
          <w:b/>
          <w:i w:val="false"/>
          <w:color w:val="000000"/>
          <w:sz w:val="22"/>
        </w:rPr>
        <w:t xml:space="preserve">(218) </w:t>
      </w:r>
      <w:r>
        <w:rPr>
          <w:rFonts w:ascii="Times New Roman" w:hAnsi="Times New Roman"/>
          <w:b/>
          <w:i w:val="false"/>
          <w:color w:val="000000"/>
          <w:sz w:val="22"/>
        </w:rPr>
        <w:t xml:space="preserve">Employment of individual. </w:t>
      </w:r>
      <w:r>
        <w:rPr>
          <w:rFonts w:ascii="Times New Roman" w:hAnsi="Times New Roman"/>
          <w:b w:val="false"/>
          <w:i w:val="false"/>
          <w:color w:val="000000"/>
          <w:sz w:val="22"/>
        </w:rPr>
        <w:t>Employers that want to hire an individual must obtain approval from the superintendent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val="false"/>
          <w:color w:val="000000"/>
          <w:sz w:val="22"/>
        </w:rPr>
        <w:t>To clarify the employer-individual employment agreement, the superintendent or designee shall communicate to the individual’s employer and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employer’s legal responsibilities,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Adherence to child labor laws;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in accordance with the Fair Labor Standards Act. Work of a more skilled nature shall be compensated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employer’s responsibility to meet the requirements of the training school, including but not limited to those relating to salary, supervision, transportation, and work hours of the individual. The employer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all payments for the individual’s employment to the facility business office for deposit in the individual’s account. Payment of any nature shall not be given directly to the individual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Immediately report a runaway individual to the superintendent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 to the superintendent or designee an individual’s behavior that is unacceptable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val="false"/>
          <w:color w:val="000000"/>
          <w:sz w:val="22"/>
        </w:rPr>
        <w:t>An individual’s behavior that is unacceptable to an employer shall not subject the individual to any sanctions, punishment or punitive restriction of privileges unless the behavior constitutes a public offense or violates facility rules. In such case, the individual may be referred to court for prosecution or the facility’s discipline procedure may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val="false"/>
          <w:color w:val="000000"/>
          <w:sz w:val="22"/>
        </w:rPr>
        <w:t>The employer, the superintendent or designee, or the individual shall have the right to terminate the employment at any time.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8.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