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under the age of 18 years.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 xml:space="preserve">means weapons, ammunition, tobacco, alcohol, drugs, money, altered authorized property, mood-altering plant material, obscene material as defined in Iowa Code section </w:t>
      </w:r>
      <w:hyperlink r:id="rId4">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residents, employees, programs, or physical facilities. “Contraband” includes anything which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administrator of the division of mental health and disability services within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state training school.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spouse, child, parent, sibling, or grandparent.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“Gift or bequest” </w:t>
      </w:r>
      <w:r>
        <w:rPr>
          <w:rFonts w:ascii="Times New Roman" w:hAnsi="Times New Roman"/>
          <w:b w:val="false"/>
          <w:i w:val="false"/>
          <w:color w:val="000000"/>
          <w:sz w:val="22"/>
        </w:rPr>
        <w:t>means anything of value that a facility receives that is intended for use directly by the employees of the facility. Items intended for public distribution, such as clothes or furniture, do not constitute a gift to the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or oral complaint by or on behalf of an individual that involves: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individual,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Any aspect of the individual’s life with which the individual does not agree.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as used in this chapter, means any child who is committed to the director of the department of human services and is admitted to and receives services from the state training school. The terms “student,” “resident,” “juvenile,” and “youth” are synonymous with the term “individual.” For purposes of the state training school, the term shall also include a person whose stay is extended beyond the age of 18 under the provisions of Iowa Code sections </w:t>
      </w:r>
      <w:hyperlink r:id="rId5">
        <w:r>
          <w:rPr>
            <w:rStyle w:val="Hyperlink"/>
            <w:rFonts w:ascii="Times New Roman" w:hAnsi="Times New Roman"/>
            <w:b w:val="false"/>
            <w:i w:val="false"/>
            <w:color w:val="000000"/>
            <w:sz w:val="22"/>
          </w:rPr>
          <w:t>232.53(2)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232.53(4)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“Iowa sex offender registry” </w:t>
      </w:r>
      <w:r>
        <w:rPr>
          <w:rFonts w:ascii="Times New Roman" w:hAnsi="Times New Roman"/>
          <w:b w:val="false"/>
          <w:i w:val="false"/>
          <w:color w:val="000000"/>
          <w:sz w:val="22"/>
        </w:rPr>
        <w:t xml:space="preserve">means a central registry of sex offenders established under Iowa Code chapter </w:t>
      </w:r>
      <w:hyperlink r:id="rId7">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that is maintained by the department of public safety.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“Juvenile court officer”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232.2(30)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“Juvenile offender” </w:t>
      </w:r>
      <w:r>
        <w:rPr>
          <w:rFonts w:ascii="Times New Roman" w:hAnsi="Times New Roman"/>
          <w:b w:val="false"/>
          <w:i w:val="false"/>
          <w:color w:val="000000"/>
          <w:sz w:val="22"/>
        </w:rPr>
        <w:t xml:space="preserve">means a juvenile who is required to be registered with the Iowa sex offender registry and with the sheriff of the juvenile’s county of residence.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including an attorney, who is authorized by law to act on behalf of an individual.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 xml:space="preserve">means all forms of currency, checks, money orders, stocks, bonds, and any other item that can be used as a medium of exchange for payment for goods or services.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means the submission of registration forms to the Iowa sex offender registry and to the sheriff of the person’s county of residence.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“State training school” </w:t>
      </w:r>
      <w:r>
        <w:rPr>
          <w:rFonts w:ascii="Times New Roman" w:hAnsi="Times New Roman"/>
          <w:b w:val="false"/>
          <w:i w:val="false"/>
          <w:color w:val="000000"/>
          <w:sz w:val="22"/>
        </w:rPr>
        <w:t xml:space="preserve">means the unit for juvenile delinquents at the Eldora facility as defined in Iowa Code section </w:t>
      </w:r>
      <w:hyperlink r:id="rId9">
        <w:r>
          <w:rPr>
            <w:rStyle w:val="Hyperlink"/>
            <w:rFonts w:ascii="Times New Roman" w:hAnsi="Times New Roman"/>
            <w:b w:val="false"/>
            <w:i w:val="false"/>
            <w:color w:val="000000"/>
            <w:sz w:val="22"/>
          </w:rPr>
          <w:t>233A.1(2)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means all forms of tobacco.</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means any gun, knife, tool, object, or chemical that can be used to inflict harm on one’s self or another.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8.1.pdf" Type="http://schemas.openxmlformats.org/officeDocument/2006/relationships/hyperlink" Id="rId4"/>
    <Relationship TargetMode="External" Target="https://www.legis.iowa.gov/docs/ico/chapter/232.53.pdf" Type="http://schemas.openxmlformats.org/officeDocument/2006/relationships/hyperlink" Id="rId5"/>
    <Relationship TargetMode="External" Target="https://www.legis.iowa.gov/docs/ico/chapter/232.53.pdf" Type="http://schemas.openxmlformats.org/officeDocument/2006/relationships/hyperlink" Id="rId6"/>
    <Relationship TargetMode="External" Target="https://www.legis.iowa.gov/docs/ico/chapter/692A.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3A.1.pdf" Type="http://schemas.openxmlformats.org/officeDocument/2006/relationships/hyperlink" Id="rId9"/>
    <Relationship TargetMode="External" Target="https://www.legis.iowa.gov/docs/ico/chapter/218.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