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441—100.7</w:t>
      </w:r>
      <w:r>
        <w:rPr>
          <w:rFonts w:ascii="Times New Roman" w:hAnsi="Times New Roman"/>
          <w:b/>
          <w:i w:val="false"/>
          <w:color w:val="000000"/>
          <w:sz w:val="22"/>
        </w:rPr>
        <w:t xml:space="preserve">(252B) </w:t>
      </w:r>
      <w:r>
        <w:rPr>
          <w:rFonts w:ascii="Times New Roman" w:hAnsi="Times New Roman"/>
          <w:b/>
          <w:i w:val="false"/>
          <w:color w:val="000000"/>
          <w:sz w:val="22"/>
        </w:rPr>
        <w:t xml:space="preserve">Receipt of incentives. </w:t>
      </w:r>
      <w:r>
        <w:rPr>
          <w:rFonts w:ascii="Times New Roman" w:hAnsi="Times New Roman"/>
          <w:b w:val="false"/>
          <w:i w:val="false"/>
          <w:color w:val="000000"/>
          <w:sz w:val="22"/>
        </w:rPr>
        <w:t>Participants receiving incentives under these rules may continue to receive the incentives after the termination of these rules or after they are no longer participants only under subrule 100.2(1). Subrule 100.2(1) shall apply to a participant or former participant for the full time period allowed in that subrule.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3720C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