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441—100.6</w:t>
      </w:r>
      <w:r>
        <w:rPr>
          <w:rFonts w:ascii="Times New Roman" w:hAnsi="Times New Roman"/>
          <w:b/>
          <w:i w:val="false"/>
          <w:color w:val="000000"/>
          <w:sz w:val="22"/>
        </w:rPr>
        <w:t xml:space="preserve">(252B) </w:t>
      </w:r>
      <w:r>
        <w:rPr>
          <w:rFonts w:ascii="Times New Roman" w:hAnsi="Times New Roman"/>
          <w:b/>
          <w:i w:val="false"/>
          <w:color w:val="000000"/>
          <w:sz w:val="22"/>
        </w:rPr>
        <w:t xml:space="preserve">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Designated providers established under these rules shall report to CSRU at least monthly, unless otherwise required by the project plan. These reports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documentation with the names of participants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voluntary consent of participants seeking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participants completing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specified in the project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100.6(2)</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Designated providers shall retain all records as necessary to meet the requirements of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