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441—100.5</w:t>
      </w:r>
      <w:r>
        <w:rPr>
          <w:rFonts w:ascii="Times New Roman" w:hAnsi="Times New Roman"/>
          <w:b/>
          <w:i w:val="false"/>
          <w:color w:val="000000"/>
          <w:sz w:val="22"/>
        </w:rPr>
        <w:t xml:space="preserve">(252B) </w:t>
      </w:r>
      <w:r>
        <w:rPr>
          <w:rFonts w:ascii="Times New Roman" w:hAnsi="Times New Roman"/>
          <w:b/>
          <w:i w:val="false"/>
          <w:color w:val="000000"/>
          <w:sz w:val="22"/>
        </w:rPr>
        <w:t xml:space="preserve">Termination of designated providers. </w:t>
      </w:r>
      <w:r>
        <w:rPr>
          <w:rFonts w:ascii="Times New Roman" w:hAnsi="Times New Roman"/>
          <w:b w:val="false"/>
          <w:i w:val="false"/>
          <w:color w:val="000000"/>
          <w:sz w:val="22"/>
        </w:rPr>
        <w:t>The bureau chief may immediately terminate CSRU’s participation with a designated provider if the designated provider is not fulfilling the terms of its project plan or the designated provider is not fulfilling the terms for CSRU’s participation in the project plan.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