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441—100.2</w:t>
      </w:r>
      <w:r>
        <w:rPr>
          <w:rFonts w:ascii="Times New Roman" w:hAnsi="Times New Roman"/>
          <w:b/>
          <w:i w:val="false"/>
          <w:color w:val="000000"/>
          <w:sz w:val="22"/>
        </w:rPr>
        <w:t xml:space="preserve">(252B) </w:t>
      </w:r>
      <w:r>
        <w:rPr>
          <w:rFonts w:ascii="Times New Roman" w:hAnsi="Times New Roman"/>
          <w:b/>
          <w:i w:val="false"/>
          <w:color w:val="000000"/>
          <w:sz w:val="22"/>
        </w:rPr>
        <w:t xml:space="preserve">Incentives. </w:t>
      </w:r>
      <w:r>
        <w:rPr>
          <w:rFonts w:ascii="Times New Roman" w:hAnsi="Times New Roman"/>
          <w:b w:val="false"/>
          <w:i w:val="false"/>
          <w:color w:val="000000"/>
          <w:sz w:val="22"/>
        </w:rPr>
        <w:t>CSRU may offer incentives to participants through designated providers to encourage participants’ completion of the project. The available incentives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w:t>
      </w:r>
      <w:r>
        <w:rPr>
          <w:rFonts w:ascii="Times New Roman" w:hAnsi="Times New Roman"/>
          <w:b w:val="false"/>
          <w:i w:val="false"/>
          <w:color w:val="000000"/>
          <w:sz w:val="22"/>
        </w:rPr>
        <w:t> </w:t>
      </w:r>
      <w:r>
        <w:rPr>
          <w:rFonts w:ascii="Times New Roman" w:hAnsi="Times New Roman"/>
          <w:b w:val="false"/>
          <w:i/>
          <w:color w:val="000000"/>
          <w:sz w:val="22"/>
        </w:rPr>
        <w:t xml:space="preserve">Satisfaction of the assigned support arrearages.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participant shall be granted a partial satisfaction of the assigned support arrearages which are and which will remain owed by that participant to the state after that participant’s successful completion of the project and payment of that participant’s periodic support payments. Satisfactions granted under this subrule shall apply only to those cases for which periodic support payment is credited.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satisfaction shall be an amount equal to a percentage of that participant’s support arrearages, which are and which will remain owed to the state, according to the following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one-time satisfaction after 6 consecutive months from the participant’s completion of the project. The amount of satisfaction shall be a percentage based on the amount of periodic support paid on all qualifying cases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100 percent of the periodic support is paid, the satisfaction amount will equal 50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99 to 80 percent of the periodic support is paid, the satisfaction amount will equal 40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79 to 60 percent of the periodic support is paid, the satisfaction amount will equal 30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59 to 40 percent of the periodic support is paid, the satisfaction amount will equal 20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39 to 20 percent of the periodic support is paid, the satisfaction amount will equal 10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19 to 0 percent of the periodic support is paid, the satisfaction amount will equal 0 percent of the amount owed to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one-time satisfaction after 12 consecutive months from the participant’s completion of the project. The amount of satisfaction shall be a percentage based on the amount of periodic support paid on all qualifying cases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100 percent of the periodic support is paid, the satisfaction amount will equal 100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99 to 80 percent of the periodic support is paid, the satisfaction amount will equal 80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79 to 60 percent of the periodic support is paid, the satisfaction amount will equal 60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59 to 40 percent of the periodic support is paid, the satisfaction amount will equal 40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39 to 20 percent of the periodic support is paid, the satisfaction amount will equal 20 percent of the amount owed to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When 19 to 0 percent of the periodic support is paid, the satisfaction amount will equal 0 percent of the amount owed to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participant subject to an income withholding order shall be eligible for the satisfaction in this subrule if the sole reason for ineligibility is a disparity between the schedules of the participant’s pay date and the scheduled date the payment is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participant shall be eligible for a satisfaction under this subrule if the participant is no longer a participant but has continued to pay the participant’s periodic support payment without interruption.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w:t>
      </w:r>
      <w:r>
        <w:rPr>
          <w:rFonts w:ascii="Times New Roman" w:hAnsi="Times New Roman"/>
          <w:b w:val="false"/>
          <w:i w:val="false"/>
          <w:color w:val="000000"/>
          <w:sz w:val="22"/>
        </w:rPr>
        <w:t> </w:t>
      </w:r>
      <w:r>
        <w:rPr>
          <w:rFonts w:ascii="Times New Roman" w:hAnsi="Times New Roman"/>
          <w:b w:val="false"/>
          <w:i/>
          <w:color w:val="000000"/>
          <w:sz w:val="22"/>
        </w:rPr>
        <w:t xml:space="preserve">Enforcement processes. </w:t>
      </w:r>
      <w:r>
        <w:rPr>
          <w:rFonts w:ascii="Times New Roman" w:hAnsi="Times New Roman"/>
          <w:b w:val="false"/>
          <w:i w:val="false"/>
          <w:color w:val="000000"/>
          <w:sz w:val="22"/>
        </w:rPr>
        <w:t>CSRU may bypass select enforcement tools, including but not limited to license sanction, administrative levy, and contempt, if the participant is actively in the project.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3720C</w:t>
      </w:r>
      <w:r>
        <w:rPr>
          <w:rFonts w:ascii="Times New Roman" w:hAnsi="Times New Roman"/>
          <w:b w:val="false"/>
          <w:i w:val="false"/>
          <w:color w:val="000000"/>
          <w:sz w:val="16"/>
        </w:rPr>
        <w:t>, IAB 3/28/18, effective 7/1/18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