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“Assigned support arrearages” </w:t>
      </w:r>
      <w:r>
        <w:rPr>
          <w:rFonts w:ascii="Times New Roman" w:hAnsi="Times New Roman"/>
          <w:b w:val="false"/>
          <w:i w:val="false"/>
          <w:color w:val="000000"/>
          <w:sz w:val="22"/>
        </w:rPr>
        <w:t>means support arrearages for which all rights have been and shall remain assigned to the state of Iowa.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“Bureau chief” </w:t>
      </w:r>
      <w:r>
        <w:rPr>
          <w:rFonts w:ascii="Times New Roman" w:hAnsi="Times New Roman"/>
          <w:b w:val="false"/>
          <w:i w:val="false"/>
          <w:color w:val="000000"/>
          <w:sz w:val="22"/>
        </w:rPr>
        <w:t>means the chief of the bureau of collections of the department of human services or the bureau chief’s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(CSRU)” </w:t>
      </w:r>
      <w:r>
        <w:rPr>
          <w:rFonts w:ascii="Times New Roman" w:hAnsi="Times New Roman"/>
          <w:b w:val="false"/>
          <w:i w:val="false"/>
          <w:color w:val="000000"/>
          <w:sz w:val="22"/>
        </w:rPr>
        <w:t>means any person, unit, or other agency which is charged with responsibility for providing or assisting in the provision of child support enforcement services pursuant to Title IV-D of the Social Security Act.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“Designated provider” </w:t>
      </w:r>
      <w:r>
        <w:rPr>
          <w:rFonts w:ascii="Times New Roman" w:hAnsi="Times New Roman"/>
          <w:b w:val="false"/>
          <w:i w:val="false"/>
          <w:color w:val="000000"/>
          <w:sz w:val="22"/>
        </w:rPr>
        <w:t>means any project approved in whole or in part by CSRU and approved by the bureau chief to assist parents in overcoming the barriers which interfere with their fulfilling obligations to their children. Each project shall have a project plan approved by the bureau chief.</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means, but is not limited to, satisfaction of support obligations and bypass of select enforcement tools such as license sanction, administrative levy, and contempt.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person who receives services or incentives through a project.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“Periodic support payment” </w:t>
      </w:r>
      <w:r>
        <w:rPr>
          <w:rFonts w:ascii="Times New Roman" w:hAnsi="Times New Roman"/>
          <w:b w:val="false"/>
          <w:i w:val="false"/>
          <w:color w:val="000000"/>
          <w:sz w:val="22"/>
        </w:rPr>
        <w:t xml:space="preserve">means the total support payment due in each time period in accordance with the established support obligation. If no current support is due, the periodic support payment is equivalent to the last current support amount as would be ordered under 441—Chapter 98, Division II.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“Project plan” </w:t>
      </w:r>
      <w:r>
        <w:rPr>
          <w:rFonts w:ascii="Times New Roman" w:hAnsi="Times New Roman"/>
          <w:b w:val="false"/>
          <w:i w:val="false"/>
          <w:color w:val="000000"/>
          <w:sz w:val="22"/>
        </w:rPr>
        <w:t>means the written policies, procedures, eligibility criteria and other components, as described at subrule 100.3(2).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