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283—35.3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Applicants must be teaching in approved shortage areas at an eligible school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Applicants must complete and file annual applications for the Iowa teacher shortage loan forgiveness program by the deadline established by the commission. If funds remain available after the application deadline, the commission will continue to accept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val="false"/>
          <w:color w:val="000000"/>
          <w:sz w:val="22"/>
        </w:rPr>
        <w:t>Applicants must annually complete and return to the commission affidavits of practice verifying that they are teaching in eligible teacher shortage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35.3(4)</w:t>
      </w:r>
      <w:r>
        <w:rPr>
          <w:rFonts w:ascii="Times New Roman" w:hAnsi="Times New Roman"/>
          <w:b w:val="false"/>
          <w:i w:val="false"/>
          <w:color w:val="000000"/>
          <w:sz w:val="22"/>
        </w:rPr>
        <w:t> </w:t>
      </w:r>
      <w:r>
        <w:rPr>
          <w:rFonts w:ascii="Times New Roman" w:hAnsi="Times New Roman"/>
          <w:b w:val="false"/>
          <w:i w:val="false"/>
          <w:color w:val="000000"/>
          <w:sz w:val="22"/>
        </w:rPr>
        <w:t>Applicants must begin their first teaching jobs in Iowa on or after July 1, 2007.</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2943C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