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283—32.1</w:t>
      </w:r>
      <w:r>
        <w:rPr>
          <w:rFonts w:ascii="Times New Roman" w:hAnsi="Times New Roman"/>
          <w:b/>
          <w:i w:val="false"/>
          <w:color w:val="000000"/>
          <w:sz w:val="22"/>
        </w:rPr>
        <w:t xml:space="preserve">(261) </w:t>
      </w:r>
      <w:r>
        <w:rPr>
          <w:rFonts w:ascii="Times New Roman" w:hAnsi="Times New Roman"/>
          <w:b/>
          <w:i w:val="false"/>
          <w:color w:val="000000"/>
          <w:sz w:val="22"/>
        </w:rPr>
        <w:t xml:space="preserve">Chiropractic graduate student forgivable loan program. </w:t>
      </w:r>
      <w:r>
        <w:rPr>
          <w:rFonts w:ascii="Times New Roman" w:hAnsi="Times New Roman"/>
          <w:b w:val="false"/>
          <w:i w:val="false"/>
          <w:color w:val="000000"/>
          <w:sz w:val="22"/>
        </w:rPr>
        <w:t>The chiropractic graduate student forgivable loan program is a state-supported and administered forgivable loan program for Iowans enrolled at Palmer College of Chiropractic, hereinafter “the college.”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“Chiropractic practice” </w:t>
      </w:r>
      <w:r>
        <w:rPr>
          <w:rFonts w:ascii="Times New Roman" w:hAnsi="Times New Roman"/>
          <w:b w:val="false"/>
          <w:i w:val="false"/>
          <w:color w:val="000000"/>
          <w:sz w:val="22"/>
        </w:rPr>
        <w:t>means working full-time as a licensed chiropractor in the state of Iowa as certified by the state board of examiners.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“Graduate student” </w:t>
      </w:r>
      <w:r>
        <w:rPr>
          <w:rFonts w:ascii="Times New Roman" w:hAnsi="Times New Roman"/>
          <w:b w:val="false"/>
          <w:i w:val="false"/>
          <w:color w:val="000000"/>
          <w:sz w:val="22"/>
        </w:rPr>
        <w:t xml:space="preserve">means a student who has completed at least 90 semester hours, or the trimester or quarter equivalent, of postsecondary coursework at a public higher education institution or at an accredited private institution, as defined under Iowa Code section </w:t>
      </w:r>
      <w:hyperlink r:id="rId4">
        <w:r>
          <w:rPr>
            <w:rStyle w:val="Hyperlink"/>
            <w:rFonts w:ascii="Times New Roman" w:hAnsi="Times New Roman"/>
            <w:b w:val="false"/>
            <w:i w:val="false"/>
            <w:color w:val="000000"/>
            <w:sz w:val="22"/>
          </w:rPr>
          <w:t>261.9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resident student” </w:t>
      </w:r>
      <w:r>
        <w:rPr>
          <w:rFonts w:ascii="Times New Roman" w:hAnsi="Times New Roman"/>
          <w:b w:val="false"/>
          <w:i w:val="false"/>
          <w:color w:val="000000"/>
          <w:sz w:val="22"/>
        </w:rPr>
        <w:t xml:space="preserve">means an individual who meets the criteria established in </w:t>
      </w:r>
      <w:hyperlink r:id="rId5">
        <w:r>
          <w:rPr>
            <w:rStyle w:val="Hyperlink"/>
            <w:rFonts w:ascii="Times New Roman" w:hAnsi="Times New Roman"/>
            <w:b w:val="false"/>
            <w:i w:val="false"/>
            <w:color w:val="000000"/>
            <w:sz w:val="22"/>
          </w:rPr>
          <w:t>283—Chapter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“Underserved area” </w:t>
      </w:r>
      <w:r>
        <w:rPr>
          <w:rFonts w:ascii="Times New Roman" w:hAnsi="Times New Roman"/>
          <w:b w:val="false"/>
          <w:i w:val="false"/>
          <w:color w:val="000000"/>
          <w:sz w:val="22"/>
        </w:rPr>
        <w:t>means a geographical area included on the Iowa governor’s health practitioner shortage area list, which is compiled by the center for rural health and primary care of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32.1(2)</w:t>
      </w:r>
      <w:r>
        <w:rPr>
          <w:rFonts w:ascii="Times New Roman" w:hAnsi="Times New Roman"/>
          <w:b w:val="false"/>
          <w:i w:val="false"/>
          <w:color w:val="000000"/>
          <w:sz w:val="22"/>
        </w:rPr>
        <w:t> </w:t>
      </w:r>
      <w:r>
        <w:rPr>
          <w:rFonts w:ascii="Times New Roman" w:hAnsi="Times New Roman"/>
          <w:b w:val="false"/>
          <w:i/>
          <w:color w:val="000000"/>
          <w:sz w:val="22"/>
        </w:rPr>
        <w:t xml:space="preserve">Recipient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Graduate students who are enrolled at the college on or after July 1, 1999, who meet the Iowa residency requirements established in </w:t>
      </w:r>
      <w:hyperlink r:id="rId6">
        <w:r>
          <w:rPr>
            <w:rStyle w:val="Hyperlink"/>
            <w:rFonts w:ascii="Times New Roman" w:hAnsi="Times New Roman"/>
            <w:b w:val="false"/>
            <w:i w:val="false"/>
            <w:color w:val="000000"/>
            <w:sz w:val="22"/>
          </w:rPr>
          <w:t>283—Chapter 10</w:t>
        </w:r>
      </w:hyperlink>
      <w:r>
        <w:rPr>
          <w:rFonts w:ascii="Times New Roman" w:hAnsi="Times New Roman"/>
          <w:b w:val="false"/>
          <w:i w:val="false"/>
          <w:color w:val="000000"/>
          <w:sz w:val="22"/>
        </w:rPr>
        <w:t xml:space="preserve"> and agree to practice chiropractic in underserved areas in Iowa are eligible to apply for program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annual amount of the forgivable loan to an eligible chiropractic student is determined by dividing the annual appropriation by the number of eligible students. The loan amount shall not exceed the student’s annual cost of tuition and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Eligible students who borrowed prior to July 1, 1999, and seek additional assistance must agree to practice in underserved areas in Iowa to qualify for cancellation benefits for all loans.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8/6/03</w:t>
      </w:r>
      <w:r>
        <w:rPr>
          <w:rFonts w:ascii="Times New Roman" w:hAnsi="Times New Roman"/>
          <w:b w:val="false"/>
          <w:i w:val="false"/>
          <w:color w:val="000000"/>
          <w:sz w:val="22"/>
        </w:rPr>
        <w:t>, effective 9/10/03.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32.1(3)</w:t>
      </w:r>
      <w:r>
        <w:rPr>
          <w:rFonts w:ascii="Times New Roman" w:hAnsi="Times New Roman"/>
          <w:b w:val="false"/>
          <w:i w:val="false"/>
          <w:color w:val="000000"/>
          <w:sz w:val="22"/>
        </w:rPr>
        <w:t> </w:t>
      </w:r>
      <w:r>
        <w:rPr>
          <w:rFonts w:ascii="Times New Roman" w:hAnsi="Times New Roman"/>
          <w:b w:val="false"/>
          <w:i/>
          <w:color w:val="000000"/>
          <w:sz w:val="22"/>
        </w:rPr>
        <w:t xml:space="preserve">Promissory note. </w:t>
      </w:r>
      <w:r>
        <w:rPr>
          <w:rFonts w:ascii="Times New Roman" w:hAnsi="Times New Roman"/>
          <w:b w:val="false"/>
          <w:i w:val="false"/>
          <w:color w:val="000000"/>
          <w:sz w:val="22"/>
        </w:rPr>
        <w:t>The chiropractic recipient of a loan under this program shall sign a promissory note agreeing to practice chiropractic in an underserved area in Iowa for one full year for each loan received or to repay the loan and accrued interest according to repayment terms specified in the note.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32.1(4)</w:t>
      </w:r>
      <w:r>
        <w:rPr>
          <w:rFonts w:ascii="Times New Roman" w:hAnsi="Times New Roman"/>
          <w:b w:val="false"/>
          <w:i w:val="false"/>
          <w:color w:val="000000"/>
          <w:sz w:val="22"/>
        </w:rPr>
        <w:t> </w:t>
      </w:r>
      <w:r>
        <w:rPr>
          <w:rFonts w:ascii="Times New Roman" w:hAnsi="Times New Roman"/>
          <w:b w:val="false"/>
          <w:i/>
          <w:color w:val="000000"/>
          <w:sz w:val="22"/>
        </w:rPr>
        <w:t xml:space="preserve">Interest rate. </w:t>
      </w:r>
      <w:r>
        <w:rPr>
          <w:rFonts w:ascii="Times New Roman" w:hAnsi="Times New Roman"/>
          <w:b w:val="false"/>
          <w:i w:val="false"/>
          <w:color w:val="000000"/>
          <w:sz w:val="22"/>
        </w:rPr>
        <w:t>The rate of interest on loans under this program shall be 10.5 percent per annum on the unpaid principal balance.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32.1(5)</w:t>
      </w:r>
      <w:r>
        <w:rPr>
          <w:rFonts w:ascii="Times New Roman" w:hAnsi="Times New Roman"/>
          <w:b w:val="false"/>
          <w:i w:val="false"/>
          <w:color w:val="000000"/>
          <w:sz w:val="22"/>
        </w:rPr>
        <w:t> </w:t>
      </w:r>
      <w:r>
        <w:rPr>
          <w:rFonts w:ascii="Times New Roman" w:hAnsi="Times New Roman"/>
          <w:b w:val="false"/>
          <w:i/>
          <w:color w:val="000000"/>
          <w:sz w:val="22"/>
        </w:rPr>
        <w:t xml:space="preserve">Disbursement of loan proceeds.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full loan amount will be disbursed when the college certifies that the borrower is an Iowa resident and enrolled in good standing.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Loan proceeds will be disbursed to the college as requested by the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college will apply loan proceeds directly to the borrowers’ tuition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borrower withdraws from attendance and is entitled to a refund of tuition and fees, the pro-rata share of the refund attributable to the state loan must be refunded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w:t>
      </w:r>
      <w:r>
        <w:rPr>
          <w:rFonts w:ascii="Times New Roman" w:hAnsi="Times New Roman"/>
          <w:b w:val="false"/>
          <w:i w:val="false"/>
          <w:color w:val="000000"/>
          <w:sz w:val="22"/>
        </w:rPr>
        <w:t> </w:t>
      </w:r>
      <w:r>
        <w:rPr>
          <w:rFonts w:ascii="Times New Roman" w:hAnsi="Times New Roman"/>
          <w:b w:val="false"/>
          <w:i/>
          <w:color w:val="000000"/>
          <w:sz w:val="22"/>
        </w:rPr>
        <w:t xml:space="preserve">Loan cancellations.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Thirty days following the termination of enrollment at the college or termination of a chiropractic practice in the state of Iowa, the borrower shall notify the commission of the nature of the borrower’s employment or educational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certify eligibility for cancellation, the borrower must annually verify, in a format acceptable to the commission, that the borrower practiced as a licensed chiropractor in the state of Iowa for 12 consecutive months for each annual loan to be canceled.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borrower qualifies for partial loan cancellation, the commission shall notify the borrower promptly and revise the repayment schedule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the event of death or total and permanent disability, a borrower’s obligation to pay this loan is canceled. Borrowers seeking forgiveness as a result of total or permanent disability must submit sufficient information substantiating the claim to the commission. Reports of a borrower’s death will be referred to the licensing board for confirmation.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32.1(7)</w:t>
      </w:r>
      <w:r>
        <w:rPr>
          <w:rFonts w:ascii="Times New Roman" w:hAnsi="Times New Roman"/>
          <w:b w:val="false"/>
          <w:i w:val="false"/>
          <w:color w:val="000000"/>
          <w:sz w:val="22"/>
        </w:rPr>
        <w:t> </w:t>
      </w:r>
      <w:r>
        <w:rPr>
          <w:rFonts w:ascii="Times New Roman" w:hAnsi="Times New Roman"/>
          <w:b w:val="false"/>
          <w:i/>
          <w:color w:val="000000"/>
          <w:sz w:val="22"/>
        </w:rPr>
        <w:t xml:space="preserve">Loan payments.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the start of the repayment period, the commission shall provide the borrower with a repayment schedule, modified to reflect any applicable cancellation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It shall be the borrower’s responsibility to remit payments to the commission as required by the repayment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the event the borrower fails to abide by any material provision of the promissory note or fails to make any payment due under the promissory note within ten days after the date the payment is due, the commission may declare the borrower in default and declare the entire unpaid balance and accrued interest on the promissory note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borrower is responsible for notifying the commission immediately of a change in name, place of employment, or home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32.1(8)</w:t>
      </w:r>
      <w:r>
        <w:rPr>
          <w:rFonts w:ascii="Times New Roman" w:hAnsi="Times New Roman"/>
          <w:b w:val="false"/>
          <w:i w:val="false"/>
          <w:color w:val="000000"/>
          <w:sz w:val="22"/>
        </w:rPr>
        <w:t> </w:t>
      </w:r>
      <w:r>
        <w:rPr>
          <w:rFonts w:ascii="Times New Roman" w:hAnsi="Times New Roman"/>
          <w:b w:val="false"/>
          <w:i/>
          <w:color w:val="000000"/>
          <w:sz w:val="22"/>
        </w:rPr>
        <w:t xml:space="preserve">Deferral of repayment.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Repayment of the borrower’s loan obligation shall begin one year after the borrower graduates if the borrower does not practice chiropractic in an underserved area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Repayment of the borrower’s loan obligation may be deferred under the following circumstances: return to full-time study; active duty in the United States military service, not to exceed three years; or during a period of temporary disability, not to exceed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Repayment of the borrower’s loan obligation under this loan program is not required during periods of enrollment as a student at the college or while fulfilling the physician service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Forbearance is a revision in repayment terms to temporarily postpone payments. It may be granted when a borrower experiences a temporary hardship and is willing but unable to pay in accordance with the repayment schedule. Borrowers remain responsible for interest accrual during forbearance periods. The program administrator may grant forbearance for periods of less than six months; periods of greater than six months but less than one year must be approved by the executive director. Forbearance periods exceeding one year must be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Borrowers failing to meet the service requirement shall be required to repay the loan on a prorated basis. The prorated balance will be calculated by dividing the number of days remaining in the service period by the number of days in the service period multiplied by the loan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Loans not forgiven may be sold to a bank, savings and loan association, credit union, or nonprofit agency eligible to participate in the guaranteed student loan program under the federal Higher Education Act of 1965, 20 U.S.C.§1071 et seq., by the commission when the loans become due for repayment.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32.1(9)</w:t>
      </w:r>
      <w:r>
        <w:rPr>
          <w:rFonts w:ascii="Times New Roman" w:hAnsi="Times New Roman"/>
          <w:b w:val="false"/>
          <w:i w:val="false"/>
          <w:color w:val="000000"/>
          <w:sz w:val="22"/>
        </w:rPr>
        <w:t> </w:t>
      </w:r>
      <w:r>
        <w:rPr>
          <w:rFonts w:ascii="Times New Roman" w:hAnsi="Times New Roman"/>
          <w:b w:val="false"/>
          <w:i/>
          <w:color w:val="000000"/>
          <w:sz w:val="22"/>
        </w:rPr>
        <w:t xml:space="preserve">Restrictions. </w:t>
      </w:r>
      <w:r>
        <w:rPr>
          <w:rFonts w:ascii="Times New Roman" w:hAnsi="Times New Roman"/>
          <w:b w:val="false"/>
          <w:i w:val="false"/>
          <w:color w:val="000000"/>
          <w:sz w:val="22"/>
        </w:rPr>
        <w:t xml:space="preserve">A borrower who is in default on a Stafford Loan, SLS Loan, Perkins/National Direct/National Defense Student Loan, Health Professions Student Loan (HPSL), or Health Education Assistance Loan (HEAL) or who owes a repayment on any Title IV grant assistance or state award shall be ineligible for loan payments. Eligibility for state aid may be reinstated upon payment in full of the delinquent obligation or by commission ruling on the basis of adequate extenuating evidence presented in appeal under the procedures set forth in </w:t>
      </w:r>
      <w:hyperlink r:id="rId7">
        <w:r>
          <w:rPr>
            <w:rStyle w:val="Hyperlink"/>
            <w:rFonts w:ascii="Times New Roman" w:hAnsi="Times New Roman"/>
            <w:b w:val="false"/>
            <w:i w:val="false"/>
            <w:color w:val="000000"/>
            <w:sz w:val="22"/>
          </w:rPr>
          <w:t>283—Chapter 5</w:t>
        </w:r>
      </w:hyperlink>
      <w:r>
        <w:rPr>
          <w:rFonts w:ascii="Times New Roman" w:hAnsi="Times New Roman"/>
          <w:b w:val="false"/>
          <w:i w:val="false"/>
          <w:color w:val="000000"/>
          <w:sz w:val="22"/>
        </w:rPr>
        <w:t>, Iowa Administrative Code.</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261.71</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2205C</w:t>
      </w:r>
      <w:r>
        <w:rPr>
          <w:rFonts w:ascii="Times New Roman" w:hAnsi="Times New Roman"/>
          <w:b w:val="false"/>
          <w:i w:val="false"/>
          <w:color w:val="000000"/>
          <w:sz w:val="16"/>
        </w:rPr>
        <w:t>, IAB 10/28/15, effective 12/2/15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61.9.pdf" Type="http://schemas.openxmlformats.org/officeDocument/2006/relationships/hyperlink" Id="rId4"/>
    <Relationship TargetMode="External" Target="https://www.legis.iowa.gov/docs/iac/chapter/283.10.pdf" Type="http://schemas.openxmlformats.org/officeDocument/2006/relationships/hyperlink" Id="rId5"/>
    <Relationship TargetMode="External" Target="https://www.legis.iowa.gov/docs/iac/chapter/283.10.pdf" Type="http://schemas.openxmlformats.org/officeDocument/2006/relationships/hyperlink" Id="rId6"/>
    <Relationship TargetMode="External" Target="https://www.legis.iowa.gov/docs/iac/chapter/283.5.pdf" Type="http://schemas.openxmlformats.org/officeDocument/2006/relationships/hyperlink" Id="rId7"/>
    <Relationship TargetMode="External" Target="https://www.legis.iowa.gov/docs/ico/chapter/261.71.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