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283—31.6</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A recipient of an award under Iowa Code section </w:t>
      </w:r>
      <w:hyperlink r:id="rId4">
        <w:r>
          <w:rPr>
            <w:rStyle w:val="Hyperlink"/>
            <w:rFonts w:ascii="Times New Roman" w:hAnsi="Times New Roman"/>
            <w:b w:val="false"/>
            <w:i w:val="false"/>
            <w:color w:val="000000"/>
            <w:sz w:val="22"/>
          </w:rPr>
          <w:t>261.114</w:t>
        </w:r>
      </w:hyperlink>
      <w:r>
        <w:rPr>
          <w:rFonts w:ascii="Times New Roman" w:hAnsi="Times New Roman"/>
          <w:b w:val="false"/>
          <w:i w:val="false"/>
          <w:color w:val="000000"/>
          <w:sz w:val="22"/>
        </w:rPr>
        <w:t xml:space="preserve"> shall not be eligible for an award under this chapter. A mental health professional who is in default on a Stafford loan, SLS Loan, Grad PLUS Loan, or a Perkins/National Direct/National Defense Student Loan or who owes a repayment on any Title IV grant assistance or state award shall be ineligible for repayment benefits. Eligibility for state aid may be reinstated upon payment in full of the delinquent obligation or by commission ruling on the basis of adequate extenuating evidence presented in appeal under the procedures set forth in </w:t>
      </w:r>
      <w:hyperlink r:id="rId5">
        <w:r>
          <w:rPr>
            <w:rStyle w:val="Hyperlink"/>
            <w:rFonts w:ascii="Times New Roman" w:hAnsi="Times New Roman"/>
            <w:b w:val="false"/>
            <w:i w:val="false"/>
            <w:color w:val="000000"/>
            <w:sz w:val="22"/>
          </w:rPr>
          <w:t>283—Chapter 5</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6888C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1.114.pdf" Type="http://schemas.openxmlformats.org/officeDocument/2006/relationships/hyperlink" Id="rId4"/>
    <Relationship TargetMode="External" Target="https://www.legis.iowa.gov/docs/iac/chapter/283.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