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283—31.4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Part-time practice.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waive the requirement that the mental health professional be employed full time if the mental health professional requests a waiver from the commission in writing and provides mental health services in eligible practice areas at least 28 hours per 40-hour workweek. If a waiver request is granted by the commission, the agreement will be amended to provide an allowance for part-time employment. The five-year employment obligation will be proportionally extended to ensure the mental health professional provides mental health services in eligible practice areas for the equivalent of five full-time years, not to exceed a total of seven consecutive years.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3/15/23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