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283—27.7</w:t>
      </w:r>
      <w:r>
        <w:rPr>
          <w:rFonts w:ascii="Times New Roman" w:hAnsi="Times New Roman"/>
          <w:b/>
          <w:i w:val="false"/>
          <w:color w:val="000000"/>
          <w:sz w:val="22"/>
        </w:rPr>
        <w:t xml:space="preserve">(261)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w:t>
      </w: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or veterinary shortage area. </w:t>
      </w:r>
      <w:r>
        <w:rPr>
          <w:rFonts w:ascii="Times New Roman" w:hAnsi="Times New Roman"/>
          <w:b w:val="false"/>
          <w:i w:val="false"/>
          <w:color w:val="000000"/>
          <w:sz w:val="22"/>
        </w:rPr>
        <w:t>The commission may waive the requirement that the veterinarian practice in the same service commitment area or veterinary shortage area for four years as long as the veterinarian continues to practice in a service commitment area or veterinary shortage area. The veterinarian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27.7(2)</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veterinarian practice. </w:t>
      </w:r>
      <w:r>
        <w:rPr>
          <w:rFonts w:ascii="Times New Roman" w:hAnsi="Times New Roman"/>
          <w:b w:val="false"/>
          <w:i w:val="false"/>
          <w:color w:val="000000"/>
          <w:sz w:val="22"/>
        </w:rPr>
        <w:t xml:space="preserve">The veterinarian obligation to engage in practice in accordance with rule </w:t>
      </w:r>
      <w:hyperlink r:id="rId4">
        <w:r>
          <w:rPr>
            <w:rStyle w:val="Hyperlink"/>
            <w:rFonts w:ascii="Times New Roman" w:hAnsi="Times New Roman"/>
            <w:b w:val="false"/>
            <w:i w:val="false"/>
            <w:color w:val="000000"/>
            <w:sz w:val="22"/>
          </w:rPr>
          <w:t>283—27.4</w:t>
        </w:r>
      </w:hyperlink>
      <w:r>
        <w:rPr>
          <w:rFonts w:ascii="Times New Roman" w:hAnsi="Times New Roman"/>
          <w:b w:val="false"/>
          <w:i w:val="false"/>
          <w:color w:val="000000"/>
          <w:sz w:val="22"/>
        </w:rPr>
        <w:t>(261) may be postponed for no more than two years from the time full-time practice was to commence. The veterinarian must request a waiver from the commission in writing for one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duty service in the armed forces, the armed forces military reserve, or the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in Volunteers in Service to America or the federal Peace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rural service commitment to the United States Public Health Service Commissioned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period of religious missionary work conducted by an organization exempt from federal income taxation pursuant to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veterinarian obligation to engage in practice in accordance with rule </w:t>
      </w:r>
      <w:hyperlink r:id="rId5">
        <w:r>
          <w:rPr>
            <w:rStyle w:val="Hyperlink"/>
            <w:rFonts w:ascii="Times New Roman" w:hAnsi="Times New Roman"/>
            <w:b w:val="false"/>
            <w:i w:val="false"/>
            <w:color w:val="000000"/>
            <w:sz w:val="22"/>
          </w:rPr>
          <w:t>283—27.4</w:t>
        </w:r>
      </w:hyperlink>
      <w:r>
        <w:rPr>
          <w:rFonts w:ascii="Times New Roman" w:hAnsi="Times New Roman"/>
          <w:b w:val="false"/>
          <w:i w:val="false"/>
          <w:color w:val="000000"/>
          <w:sz w:val="22"/>
        </w:rPr>
        <w:t>(261) may be postponed for a period exceeding two years for any period of temporary medical incapacity, including leave approved under the Family and Medical Leave Act, during which the veterinarian is unable to engage in full-time practice. The veterinarian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the veterinarian practice obligation. </w:t>
      </w:r>
      <w:r>
        <w:rPr>
          <w:rFonts w:ascii="Times New Roman" w:hAnsi="Times New Roman"/>
          <w:b w:val="false"/>
          <w:i w:val="false"/>
          <w:color w:val="000000"/>
          <w:sz w:val="22"/>
        </w:rPr>
        <w:t>All obligations under the rural veterinarian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3.27.4.pdf" Type="http://schemas.openxmlformats.org/officeDocument/2006/relationships/hyperlink" Id="rId4"/>
    <Relationship TargetMode="External" Target="https://www.legis.iowa.gov/docs/iac/rule/283.27.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