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283—27.1</w:t>
      </w:r>
      <w:r>
        <w:rPr>
          <w:rFonts w:ascii="Times New Roman" w:hAnsi="Times New Roman"/>
          <w:b/>
          <w:i w:val="false"/>
          <w:color w:val="000000"/>
          <w:sz w:val="22"/>
        </w:rPr>
        <w:t xml:space="preserve">(261) </w:t>
      </w:r>
      <w:r>
        <w:rPr>
          <w:rFonts w:ascii="Times New Roman" w:hAnsi="Times New Roman"/>
          <w:b/>
          <w:i w:val="false"/>
          <w:color w:val="000000"/>
          <w:sz w:val="22"/>
        </w:rPr>
        <w:t xml:space="preserve">Rural veterinarian loan repayment program. </w:t>
      </w:r>
      <w:r>
        <w:rPr>
          <w:rFonts w:ascii="Times New Roman" w:hAnsi="Times New Roman"/>
          <w:b w:val="false"/>
          <w:i w:val="false"/>
          <w:color w:val="000000"/>
          <w:sz w:val="22"/>
        </w:rPr>
        <w:t>The rural veterinarian loan repayment program is a state-supported and state-administered loan repayment program established to repay the eligible loans of veterinarians who agree to practice in service commitment areas or in veterinary shortage areas for four consecutive years and meet the requirements of these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