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283—25.7</w:t>
      </w:r>
      <w:r>
        <w:rPr>
          <w:rFonts w:ascii="Times New Roman" w:hAnsi="Times New Roman"/>
          <w:b/>
          <w:i w:val="false"/>
          <w:color w:val="000000"/>
          <w:sz w:val="22"/>
        </w:rPr>
        <w:t xml:space="preserve">(261) </w:t>
      </w:r>
      <w:r>
        <w:rPr>
          <w:rFonts w:ascii="Times New Roman" w:hAnsi="Times New Roman"/>
          <w:b/>
          <w:i w:val="false"/>
          <w:color w:val="000000"/>
          <w:sz w:val="22"/>
        </w:rPr>
        <w:t xml:space="preserve">Restrictions. </w:t>
      </w:r>
      <w:r>
        <w:rPr>
          <w:rFonts w:ascii="Times New Roman" w:hAnsi="Times New Roman"/>
          <w:b w:val="false"/>
          <w:i w:val="false"/>
          <w:color w:val="000000"/>
          <w:sz w:val="22"/>
        </w:rPr>
        <w:t xml:space="preserve">An advanced registered nurse practitioner or physician assistant who is in default on a Federal Stafford Loan, Grad PLUS Loan, SLS Loan, Perkins/National Direct/National Defense Student Loan, Health Professions Student Loan (HPSL), or Health Education Assistance Loan (HEAL) or who owes a repayment on any Title IV grant assistance or state award shall be ineligible for loan repayment. Eligibility may be reinstated upon payment in full of the delinquent obligation or by commission ruling on the basis of adequate extenuating evidence presented in appeal under the procedures set forth in </w:t>
      </w:r>
      <w:hyperlink r:id="rId4">
        <w:r>
          <w:rPr>
            <w:rStyle w:val="Hyperlink"/>
            <w:rFonts w:ascii="Times New Roman" w:hAnsi="Times New Roman"/>
            <w:b w:val="false"/>
            <w:i w:val="false"/>
            <w:color w:val="000000"/>
            <w:sz w:val="22"/>
          </w:rPr>
          <w:t>283—Chapters 4</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5</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1321C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283.4.pdf" Type="http://schemas.openxmlformats.org/officeDocument/2006/relationships/hyperlink" Id="rId4"/>
    <Relationship TargetMode="External" Target="https://www.legis.iowa.gov/docs/iac/chapter/283.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