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283—25.5</w:t>
      </w:r>
      <w:r>
        <w:rPr>
          <w:rFonts w:ascii="Times New Roman" w:hAnsi="Times New Roman"/>
          <w:b/>
          <w:i w:val="false"/>
          <w:color w:val="000000"/>
          <w:sz w:val="22"/>
        </w:rPr>
        <w:t xml:space="preserve">(261)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w:t>
      </w:r>
      <w:r>
        <w:rPr>
          <w:rFonts w:ascii="Times New Roman" w:hAnsi="Times New Roman"/>
          <w:b w:val="false"/>
          <w:i w:val="false"/>
          <w:color w:val="000000"/>
          <w:sz w:val="22"/>
        </w:rPr>
        <w:t>The commission may waive the requirement that the advanced registered nurse practitioner or physician assistant practice in the same service commitment area for five years. The advanced registered nurse practitioner or physician assistant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advanced registered nurse practitioner or physician assistant employment. </w:t>
      </w:r>
      <w:r>
        <w:rPr>
          <w:rFonts w:ascii="Times New Roman" w:hAnsi="Times New Roman"/>
          <w:b w:val="false"/>
          <w:i w:val="false"/>
          <w:color w:val="000000"/>
          <w:sz w:val="22"/>
        </w:rPr>
        <w:t>All obligations under the rural Iowa advanced registered nurse practitioner and physician assistant loan repayment program are considered to be satisfied when any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agreement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due to permanent disability, is unable to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has no remaining eligible loan balance to repay.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1686C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4185C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