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283—25.1</w:t>
      </w:r>
      <w:r>
        <w:rPr>
          <w:rFonts w:ascii="Times New Roman" w:hAnsi="Times New Roman"/>
          <w:b/>
          <w:i w:val="false"/>
          <w:color w:val="000000"/>
          <w:sz w:val="22"/>
        </w:rPr>
        <w:t xml:space="preserve">(261) </w:t>
      </w:r>
      <w:r>
        <w:rPr>
          <w:rFonts w:ascii="Times New Roman" w:hAnsi="Times New Roman"/>
          <w:b/>
          <w:i w:val="false"/>
          <w:color w:val="000000"/>
          <w:sz w:val="22"/>
        </w:rPr>
        <w:t xml:space="preserve">Rural Iowa advanced registered nurse practitioner and physician assistant loan repayment program. </w:t>
      </w:r>
      <w:r>
        <w:rPr>
          <w:rFonts w:ascii="Times New Roman" w:hAnsi="Times New Roman"/>
          <w:b w:val="false"/>
          <w:i w:val="false"/>
          <w:color w:val="000000"/>
          <w:sz w:val="22"/>
        </w:rPr>
        <w:t>The rural Iowa advanced registered nurse practitioner and physician assistant loan repayment program is a state-supported and administered loan repayment program for applicants who agree to practice as advanced registered nurse practitioners or physician assistants in service commitment areas for five consecutive years and meet the requirements of these rules.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