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283—24.5</w:t>
      </w:r>
      <w:r>
        <w:rPr>
          <w:rFonts w:ascii="Times New Roman" w:hAnsi="Times New Roman"/>
          <w:b/>
          <w:i w:val="false"/>
          <w:color w:val="000000"/>
          <w:sz w:val="22"/>
        </w:rPr>
        <w:t xml:space="preserve">(261)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w:t>
      </w:r>
      <w:r>
        <w:rPr>
          <w:rFonts w:ascii="Times New Roman" w:hAnsi="Times New Roman"/>
          <w:b w:val="false"/>
          <w:i w:val="false"/>
          <w:color w:val="000000"/>
          <w:sz w:val="22"/>
        </w:rPr>
        <w:t> </w:t>
      </w:r>
      <w:r>
        <w:rPr>
          <w:rFonts w:ascii="Times New Roman" w:hAnsi="Times New Roman"/>
          <w:b w:val="false"/>
          <w:i/>
          <w:color w:val="000000"/>
          <w:sz w:val="22"/>
        </w:rPr>
        <w:t xml:space="preserve">Service commitment area. </w:t>
      </w:r>
      <w:r>
        <w:rPr>
          <w:rFonts w:ascii="Times New Roman" w:hAnsi="Times New Roman"/>
          <w:b w:val="false"/>
          <w:i w:val="false"/>
          <w:color w:val="000000"/>
          <w:sz w:val="22"/>
        </w:rPr>
        <w:t>The commission may waive the requirement that the physician practice in the same service commitment area for five years. The physician must request a waiver from the commission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24.5(2)</w:t>
      </w:r>
      <w:r>
        <w:rPr>
          <w:rFonts w:ascii="Times New Roman" w:hAnsi="Times New Roman"/>
          <w:b w:val="false"/>
          <w:i w:val="false"/>
          <w:color w:val="000000"/>
          <w:sz w:val="22"/>
        </w:rPr>
        <w:t> </w:t>
      </w:r>
      <w:r>
        <w:rPr>
          <w:rFonts w:ascii="Times New Roman" w:hAnsi="Times New Roman"/>
          <w:b w:val="false"/>
          <w:i/>
          <w:color w:val="000000"/>
          <w:sz w:val="22"/>
        </w:rPr>
        <w:t xml:space="preserve">Full-time employment. </w:t>
      </w:r>
      <w:r>
        <w:rPr>
          <w:rFonts w:ascii="Times New Roman" w:hAnsi="Times New Roman"/>
          <w:b w:val="false"/>
          <w:i w:val="false"/>
          <w:color w:val="000000"/>
          <w:sz w:val="22"/>
        </w:rPr>
        <w:t xml:space="preserve">The commission may waive the requirement that the physician be employed full-time if the physician requests a waiver from the commission in writing and is working at least 28 hours per week. If a waiver request is granted by the commission, the agreement will be amended to provide an allowance for part-time employment. For agreements entered into pursuant to </w:t>
      </w:r>
      <w:hyperlink r:id="rId4">
        <w:r>
          <w:rPr>
            <w:rStyle w:val="Hyperlink"/>
            <w:rFonts w:ascii="Times New Roman" w:hAnsi="Times New Roman"/>
            <w:b w:val="false"/>
            <w:i w:val="false"/>
            <w:color w:val="000000"/>
            <w:sz w:val="22"/>
          </w:rPr>
          <w:t>24.3(2)</w:t>
        </w:r>
      </w:hyperlink>
      <w:r>
        <w:rPr>
          <w:rFonts w:ascii="Times New Roman" w:hAnsi="Times New Roman"/>
          <w:b w:val="false"/>
          <w:i w:val="false"/>
          <w:color w:val="000000"/>
          <w:sz w:val="22"/>
        </w:rPr>
        <w:t xml:space="preserve"> prior to July 1, 2022, the five-year employment obligation will be proportionally extended to ensure the physician is employed in a service commitment area for the equivalent of five full-time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w:t>
      </w:r>
      <w:r>
        <w:rPr>
          <w:rFonts w:ascii="Times New Roman" w:hAnsi="Times New Roman"/>
          <w:b w:val="false"/>
          <w:i w:val="false"/>
          <w:color w:val="000000"/>
          <w:sz w:val="22"/>
        </w:rPr>
        <w:t> </w:t>
      </w:r>
      <w:r>
        <w:rPr>
          <w:rFonts w:ascii="Times New Roman" w:hAnsi="Times New Roman"/>
          <w:b w:val="false"/>
          <w:i/>
          <w:color w:val="000000"/>
          <w:sz w:val="22"/>
        </w:rPr>
        <w:t xml:space="preserve">Postponement of physician employment. </w:t>
      </w:r>
      <w:r>
        <w:rPr>
          <w:rFonts w:ascii="Times New Roman" w:hAnsi="Times New Roman"/>
          <w:b w:val="false"/>
          <w:i w:val="false"/>
          <w:color w:val="000000"/>
          <w:sz w:val="22"/>
        </w:rPr>
        <w:t xml:space="preserve">The physician obligation to engage in practice in accordance with </w:t>
      </w:r>
      <w:hyperlink r:id="rId5">
        <w:r>
          <w:rPr>
            <w:rStyle w:val="Hyperlink"/>
            <w:rFonts w:ascii="Times New Roman" w:hAnsi="Times New Roman"/>
            <w:b w:val="false"/>
            <w:i w:val="false"/>
            <w:color w:val="000000"/>
            <w:sz w:val="22"/>
          </w:rPr>
          <w:t>24.3(5)</w:t>
        </w:r>
      </w:hyperlink>
      <w:r>
        <w:rPr>
          <w:rFonts w:ascii="Times New Roman" w:hAnsi="Times New Roman"/>
          <w:b w:val="false"/>
          <w:i w:val="false"/>
          <w:color w:val="000000"/>
          <w:sz w:val="22"/>
        </w:rPr>
        <w:t xml:space="preserve"> may be postponed for no more than two years from the time full-time or part-time practice was to commence. The physician must request a waiver from the commission in writing for one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 duty service in the armed forces, the armed forces military reserve, or the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in Volunteers in Service to America or the federal Peace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service commitment to the United States Public Health Service Commissioned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period of religious missionary work conducted by an organization exempt from federal income taxation pursuant to Section 501(c)(3) of the Internal Revenue Code.</w:t>
      </w:r>
    </w:p>
    <w:p>
      <w:pPr>
        <w:spacing w:before="0" w:after="0"/>
        <w:ind w:left="120"/>
        <w:jc w:val="both"/>
      </w:pPr>
      <w:r>
        <w:rPr>
          <w:rFonts w:ascii="Times New Roman" w:hAnsi="Times New Roman"/>
          <w:b w:val="false"/>
          <w:i w:val="false"/>
          <w:color w:val="000000"/>
          <w:sz w:val="22"/>
        </w:rPr>
        <w:t xml:space="preserve">The physician obligation to engage in practice in accordance with </w:t>
      </w:r>
      <w:hyperlink r:id="rId6">
        <w:r>
          <w:rPr>
            <w:rStyle w:val="Hyperlink"/>
            <w:rFonts w:ascii="Times New Roman" w:hAnsi="Times New Roman"/>
            <w:b w:val="false"/>
            <w:i w:val="false"/>
            <w:color w:val="000000"/>
            <w:sz w:val="22"/>
          </w:rPr>
          <w:t>24.3(5)</w:t>
        </w:r>
      </w:hyperlink>
      <w:r>
        <w:rPr>
          <w:rFonts w:ascii="Times New Roman" w:hAnsi="Times New Roman"/>
          <w:b w:val="false"/>
          <w:i w:val="false"/>
          <w:color w:val="000000"/>
          <w:sz w:val="22"/>
        </w:rPr>
        <w:t xml:space="preserve"> may be postponed for a period exceeding two years for any period of temporary medical incapacity, including leave approved under the Family and Medical Leave Act, during which the physician is unable to engage in full-time or part-time practice. The physician must request a waiver from the commission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24.5(4)</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physician employment. </w:t>
      </w:r>
      <w:r>
        <w:rPr>
          <w:rFonts w:ascii="Times New Roman" w:hAnsi="Times New Roman"/>
          <w:b w:val="false"/>
          <w:i w:val="false"/>
          <w:color w:val="000000"/>
          <w:sz w:val="22"/>
        </w:rPr>
        <w:t>All obligations under the rural Iowa primary care loan repayment program are considered to be satisfied when any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agreement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due to permanent disability, is unable to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has no remaining eligible loan balance to repay.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1320C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1685C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5965C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6731C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3.24.3.pdf" Type="http://schemas.openxmlformats.org/officeDocument/2006/relationships/hyperlink" Id="rId4"/>
    <Relationship TargetMode="External" Target="https://www.legis.iowa.gov/docs/iac/rule/283.24.3.pdf" Type="http://schemas.openxmlformats.org/officeDocument/2006/relationships/hyperlink" Id="rId5"/>
    <Relationship TargetMode="External" Target="https://www.legis.iowa.gov/docs/iac/rule/283.24.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