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283—24.3</w:t>
      </w:r>
      <w:r>
        <w:rPr>
          <w:rFonts w:ascii="Times New Roman" w:hAnsi="Times New Roman"/>
          <w:b/>
          <w:i w:val="false"/>
          <w:color w:val="000000"/>
          <w:sz w:val="22"/>
        </w:rPr>
        <w:t xml:space="preserve">(261) </w:t>
      </w:r>
      <w:r>
        <w:rPr>
          <w:rFonts w:ascii="Times New Roman" w:hAnsi="Times New Roman"/>
          <w:b/>
          <w:i w:val="false"/>
          <w:color w:val="000000"/>
          <w:sz w:val="22"/>
        </w:rPr>
        <w:t xml:space="preserve">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24.3(1)</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university will recommend applicants to the commission for loan repayment benefits. Priority will be given to students who are Iowa residents upon enrolling in the eligible university. “Iowa resident” means an individual who meets the residency requirements established in </w:t>
      </w:r>
      <w:hyperlink r:id="rId4">
        <w:r>
          <w:rPr>
            <w:rStyle w:val="Hyperlink"/>
            <w:rFonts w:ascii="Times New Roman" w:hAnsi="Times New Roman"/>
            <w:b w:val="false"/>
            <w:i w:val="false"/>
            <w:color w:val="000000"/>
            <w:sz w:val="22"/>
          </w:rPr>
          <w:t>283—Chapter 10</w:t>
        </w:r>
      </w:hyperlink>
      <w:r>
        <w:rPr>
          <w:rFonts w:ascii="Times New Roman" w:hAnsi="Times New Roman"/>
          <w:b w:val="false"/>
          <w:i w:val="false"/>
          <w:color w:val="000000"/>
          <w:sz w:val="22"/>
        </w:rPr>
        <w:t>. The percentage of the agreements to be entered into by students attending each eligible university shall be evenly divided.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will annually determine and communicate the number of recommendations that can be funded at each eligible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fewer than the recommendations in </w:t>
      </w:r>
      <w:hyperlink r:id="rId5">
        <w:r>
          <w:rPr>
            <w:rStyle w:val="Hyperlink"/>
            <w:rFonts w:ascii="Times New Roman" w:hAnsi="Times New Roman"/>
            <w:b w:val="false"/>
            <w:i w:val="false"/>
            <w:color w:val="000000"/>
            <w:sz w:val="22"/>
          </w:rPr>
          <w:t>24.3(1)</w:t>
        </w:r>
        <w:r>
          <w:rPr>
            <w:rFonts w:ascii="Times New Roman" w:hAnsi="Times New Roman"/>
            <w:b w:val="false"/>
            <w:i/>
            <w:color w:val="000000"/>
            <w:sz w:val="22"/>
          </w:rPr>
          <w:t>“a”</w:t>
        </w:r>
      </w:hyperlink>
      <w:r>
        <w:rPr>
          <w:rFonts w:ascii="Times New Roman" w:hAnsi="Times New Roman"/>
          <w:b w:val="false"/>
          <w:i w:val="false"/>
          <w:color w:val="000000"/>
          <w:sz w:val="22"/>
        </w:rPr>
        <w:t xml:space="preserve"> are fulfilled by students at one eligible university, the commission may obtain additional recommendations from the other eligible university to award the remaining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fewer than the total number of recommendations in </w:t>
      </w:r>
      <w:hyperlink r:id="rId6">
        <w:r>
          <w:rPr>
            <w:rStyle w:val="Hyperlink"/>
            <w:rFonts w:ascii="Times New Roman" w:hAnsi="Times New Roman"/>
            <w:b w:val="false"/>
            <w:i w:val="false"/>
            <w:color w:val="000000"/>
            <w:sz w:val="22"/>
          </w:rPr>
          <w:t>24.3(1)</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filled by students at the eligible universities, the commission may enter into additional agreements under the surplus funds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24.3(2)</w:t>
      </w:r>
      <w:r>
        <w:rPr>
          <w:rFonts w:ascii="Times New Roman" w:hAnsi="Times New Roman"/>
          <w:b w:val="false"/>
          <w:i w:val="false"/>
          <w:color w:val="000000"/>
          <w:sz w:val="22"/>
        </w:rPr>
        <w:t> </w:t>
      </w:r>
      <w:r>
        <w:rPr>
          <w:rFonts w:ascii="Times New Roman" w:hAnsi="Times New Roman"/>
          <w:b w:val="false"/>
          <w:i w:val="false"/>
          <w:color w:val="000000"/>
          <w:sz w:val="22"/>
        </w:rPr>
        <w:t>An applicant must enter into an agreement with the commission during the applicant’s final year of study leading to a doctor of medicine or osteopathy degree.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24.3(3)</w:t>
      </w:r>
      <w:r>
        <w:rPr>
          <w:rFonts w:ascii="Times New Roman" w:hAnsi="Times New Roman"/>
          <w:b w:val="false"/>
          <w:i w:val="false"/>
          <w:color w:val="000000"/>
          <w:sz w:val="22"/>
        </w:rPr>
        <w:t> </w:t>
      </w:r>
      <w:r>
        <w:rPr>
          <w:rFonts w:ascii="Times New Roman" w:hAnsi="Times New Roman"/>
          <w:b w:val="false"/>
          <w:i w:val="false"/>
          <w:color w:val="000000"/>
          <w:sz w:val="22"/>
        </w:rPr>
        <w:t>An applicant must be enrolled on a full-time basis and graduate with a doctor of medicine or osteopathy degree from an eligible university. The commission may waive the full-time enrollment requirement for a temporary time frame only in the instance of a leave of absence approved by an eligible university. The applicant must request a waiver from the commission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24.3(4)</w:t>
      </w:r>
      <w:r>
        <w:rPr>
          <w:rFonts w:ascii="Times New Roman" w:hAnsi="Times New Roman"/>
          <w:b w:val="false"/>
          <w:i w:val="false"/>
          <w:color w:val="000000"/>
          <w:sz w:val="22"/>
        </w:rPr>
        <w:t> </w:t>
      </w:r>
      <w:r>
        <w:rPr>
          <w:rFonts w:ascii="Times New Roman" w:hAnsi="Times New Roman"/>
          <w:b w:val="false"/>
          <w:i w:val="false"/>
          <w:color w:val="000000"/>
          <w:sz w:val="22"/>
        </w:rPr>
        <w:t>An applicant must apply for, enter, and complete a residency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24.3(5)</w:t>
      </w:r>
      <w:r>
        <w:rPr>
          <w:rFonts w:ascii="Times New Roman" w:hAnsi="Times New Roman"/>
          <w:b w:val="false"/>
          <w:i w:val="false"/>
          <w:color w:val="000000"/>
          <w:sz w:val="22"/>
        </w:rPr>
        <w:t> </w:t>
      </w:r>
      <w:r>
        <w:rPr>
          <w:rFonts w:ascii="Times New Roman" w:hAnsi="Times New Roman"/>
          <w:b w:val="false"/>
          <w:i w:val="false"/>
          <w:color w:val="000000"/>
          <w:sz w:val="22"/>
        </w:rPr>
        <w:t>Within nine months of graduating from the residency program, an applicant must receive a permanent license to practice medicine and surgery or osteopathic medicine and surgery in the state of Iowa and engage in full-time or part-time practice of medicine and surgery or osteopathic medicine and surgery specializing in family medicine, pediatrics, psychiatry, internal medicine, obstetrics and gynecology, neurology, or general surgery for a period of five consecutive years in a service commitment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24.3(6)</w:t>
      </w:r>
      <w:r>
        <w:rPr>
          <w:rFonts w:ascii="Times New Roman" w:hAnsi="Times New Roman"/>
          <w:b w:val="false"/>
          <w:i w:val="false"/>
          <w:color w:val="000000"/>
          <w:sz w:val="22"/>
        </w:rPr>
        <w:t> </w:t>
      </w:r>
      <w:r>
        <w:rPr>
          <w:rFonts w:ascii="Times New Roman" w:hAnsi="Times New Roman"/>
          <w:b w:val="false"/>
          <w:i w:val="false"/>
          <w:color w:val="000000"/>
          <w:sz w:val="22"/>
        </w:rPr>
        <w:t>An applicant must annually complete and return to the commission an affidavit of acceptance into and completion of residency programs and acceptance of and completion of employment obligations in a service commitment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24.3(7)</w:t>
      </w:r>
      <w:r>
        <w:rPr>
          <w:rFonts w:ascii="Times New Roman" w:hAnsi="Times New Roman"/>
          <w:b w:val="false"/>
          <w:i w:val="false"/>
          <w:color w:val="000000"/>
          <w:sz w:val="22"/>
        </w:rPr>
        <w:t> </w:t>
      </w:r>
      <w:r>
        <w:rPr>
          <w:rFonts w:ascii="Times New Roman" w:hAnsi="Times New Roman"/>
          <w:b w:val="false"/>
          <w:i w:val="false"/>
          <w:color w:val="000000"/>
          <w:sz w:val="22"/>
        </w:rPr>
        <w:t>Prior to or upon engagement in full-time or part-time practice in a service commitment area, the physician must contract with a service commitment area to provide a nonrefundable $20,000 contribution for deposit in the rural Iowa primary care trust fund. Payment must be received by the commission from a service commitment area prior to payment of any loan repayment awards.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24.3(8)</w:t>
      </w:r>
      <w:r>
        <w:rPr>
          <w:rFonts w:ascii="Times New Roman" w:hAnsi="Times New Roman"/>
          <w:b w:val="false"/>
          <w:i w:val="false"/>
          <w:color w:val="000000"/>
          <w:sz w:val="22"/>
        </w:rPr>
        <w:t> </w:t>
      </w:r>
      <w:r>
        <w:rPr>
          <w:rFonts w:ascii="Times New Roman" w:hAnsi="Times New Roman"/>
          <w:b w:val="false"/>
          <w:i w:val="false"/>
          <w:color w:val="000000"/>
          <w:sz w:val="22"/>
        </w:rPr>
        <w:t>Failure by the applicant to meet all eligibility requirements under this rule and in the agreement will result in forfeiture of all remaining unpaid payments.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1320C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1685C</w:t>
      </w:r>
      <w:r>
        <w:rPr>
          <w:rFonts w:ascii="Times New Roman" w:hAnsi="Times New Roman"/>
          <w:b w:val="false"/>
          <w:i w:val="false"/>
          <w:color w:val="000000"/>
          <w:sz w:val="16"/>
        </w:rPr>
        <w:t>, IAB 10/29/14, effective 12/3/14</w:t>
      </w:r>
      <w:r>
        <w:rPr>
          <w:rFonts w:ascii="Times New Roman" w:hAnsi="Times New Roman"/>
          <w:b w:val="false"/>
          <w:i w:val="false"/>
          <w:color w:val="000000"/>
          <w:sz w:val="16"/>
        </w:rPr>
        <w:t xml:space="preserve">; </w:t>
      </w:r>
      <w:r>
        <w:rPr>
          <w:rFonts w:ascii="Times New Roman" w:hAnsi="Times New Roman"/>
          <w:b/>
          <w:i w:val="false"/>
          <w:color w:val="000000"/>
          <w:sz w:val="16"/>
        </w:rPr>
        <w:t>ARC 2205C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 xml:space="preserve">; </w:t>
      </w:r>
      <w:r>
        <w:rPr>
          <w:rFonts w:ascii="Times New Roman" w:hAnsi="Times New Roman"/>
          <w:b/>
          <w:i w:val="false"/>
          <w:color w:val="000000"/>
          <w:sz w:val="16"/>
        </w:rPr>
        <w:t>ARC 5965C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6731C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283.10.pdf" Type="http://schemas.openxmlformats.org/officeDocument/2006/relationships/hyperlink" Id="rId4"/>
    <Relationship TargetMode="External" Target="https://www.legis.iowa.gov/docs/iac/rule/283.24.3.pdf" Type="http://schemas.openxmlformats.org/officeDocument/2006/relationships/hyperlink" Id="rId5"/>
    <Relationship TargetMode="External" Target="https://www.legis.iowa.gov/docs/iac/rule/283.24.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