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265—40.6</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r>
        <w:rPr>
          <w:rFonts w:ascii="Times New Roman" w:hAnsi="Times New Roman"/>
          <w:b w:val="false"/>
          <w:i w:val="false"/>
          <w:color w:val="000000"/>
          <w:sz w:val="22"/>
        </w:rPr>
        <w:t>Loans made under the program shall, at a minimum,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color w:val="000000"/>
          <w:sz w:val="22"/>
        </w:rPr>
        <w:t xml:space="preserve">Forgivability. </w:t>
      </w:r>
      <w:r>
        <w:rPr>
          <w:rFonts w:ascii="Times New Roman" w:hAnsi="Times New Roman"/>
          <w:b w:val="false"/>
          <w:i w:val="false"/>
          <w:color w:val="000000"/>
          <w:sz w:val="22"/>
        </w:rPr>
        <w:t>Forgivable loans made pursuant to the program shall be forgivable over a five-year period. One-fifth of the total principal amount loaned shall be forgiven following each full year the eligible resident owns the home for which the loan was made, beginning on the date of the final disbursement of forgivable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color w:val="000000"/>
          <w:sz w:val="22"/>
        </w:rPr>
        <w:t xml:space="preserve">Zero percent interest. </w:t>
      </w:r>
      <w:r>
        <w:rPr>
          <w:rFonts w:ascii="Times New Roman" w:hAnsi="Times New Roman"/>
          <w:b w:val="false"/>
          <w:i w:val="false"/>
          <w:color w:val="000000"/>
          <w:sz w:val="22"/>
        </w:rPr>
        <w:t>Loans made pursuant to the program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color w:val="000000"/>
          <w:sz w:val="22"/>
        </w:rPr>
        <w:t xml:space="preserve">Five-year term. </w:t>
      </w:r>
      <w:r>
        <w:rPr>
          <w:rFonts w:ascii="Times New Roman" w:hAnsi="Times New Roman"/>
          <w:b w:val="false"/>
          <w:i w:val="false"/>
          <w:color w:val="000000"/>
          <w:sz w:val="22"/>
        </w:rPr>
        <w:t>All loans made pursuant to the program shall be for a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w:t>
      </w:r>
      <w:r>
        <w:rPr>
          <w:rFonts w:ascii="Times New Roman" w:hAnsi="Times New Roman"/>
          <w:b w:val="false"/>
          <w:i w:val="false"/>
          <w:color w:val="000000"/>
          <w:sz w:val="22"/>
        </w:rPr>
        <w:t> </w:t>
      </w:r>
      <w:r>
        <w:rPr>
          <w:rFonts w:ascii="Times New Roman" w:hAnsi="Times New Roman"/>
          <w:b w:val="false"/>
          <w:i/>
          <w:color w:val="000000"/>
          <w:sz w:val="22"/>
        </w:rPr>
        <w:t xml:space="preserve">Repayment due upon sale of home. </w:t>
      </w:r>
      <w:r>
        <w:rPr>
          <w:rFonts w:ascii="Times New Roman" w:hAnsi="Times New Roman"/>
          <w:b w:val="false"/>
          <w:i w:val="false"/>
          <w:color w:val="000000"/>
          <w:sz w:val="22"/>
        </w:rPr>
        <w:t>Any principal of a forgivable loan that has not yet been forgiven at the time the home for which the forgivable loan was made is sold by the eligible resident (including property acquisitions) shall be due and payable upon such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w:t>
      </w: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Each loan made pursuant to this program shall be secured by a retention agreement which shall constitute a lien on the title of the real property for which the forgivable loan is made until such time as the forgivable loan has either been fully forgiven or paid in full; provided, however, that in the case of a property acquisition under the hazard mitigation grant program set forth in Iowa Code chapter </w:t>
      </w:r>
      <w:hyperlink r:id="rId4">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under any other comparable program implemented in whole or in part to assist in recovery from the natural disasters of 2010), payment of the following shall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portion of the repayment due for a down payment assistance loan made under paragraph 40.5(1)</w:t>
      </w:r>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portion of the repayment due for a housing repair or rehabilitation assistance loan made under paragraph 40.5(1)</w:t>
      </w:r>
      <w:r>
        <w:rPr>
          <w:rFonts w:ascii="Times New Roman" w:hAnsi="Times New Roman"/>
          <w:b w:val="false"/>
          <w:i/>
          <w:color w:val="000000"/>
          <w:sz w:val="22"/>
        </w:rPr>
        <w:t>“b”</w:t>
      </w:r>
      <w:r>
        <w:rPr>
          <w:rFonts w:ascii="Times New Roman" w:hAnsi="Times New Roman"/>
          <w:b w:val="false"/>
          <w:i w:val="false"/>
          <w:color w:val="000000"/>
          <w:sz w:val="22"/>
        </w:rPr>
        <w:t xml:space="preserve"> for which the eligible resident provides documentation that the assistance was expended for the purpose for which it was awarded.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9C.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