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265—38.8</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val="false"/>
          <w:color w:val="000000"/>
          <w:sz w:val="22"/>
        </w:rPr>
        <w:t>A grant agreement shall be executed between successful applicants and the Iowa jobs board. These rules and applicable state laws and regulations shall be part of the contract. The board reserves the right to negotiate wage rates as well as other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val="false"/>
          <w:color w:val="000000"/>
          <w:sz w:val="22"/>
        </w:rPr>
        <w:t>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board’s determination that a competitive grant application should be approved, authority staff shall propose a draft grant agreement to the recipient. Within 30 days of either transmission of the proposed grant agreement to the recipient or transmission of notice of how the proposed grant agreement may be accessed by the recipient via the Internet, the recipient shall notify the authority as to whether the recipient will execute the proposed agreement or whether the recipient would prefer to negotiate a different agreement. If the recipient elects to execute the proposed agreement, or if the recipient fails to make a timely election, the authority shall prepare and transmit to the recipient on behalf of the board a final contract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recipient elects to negotiate a different agreement, the recipient shall, at the time it makes such election, notify the authority of the requested changes to the proposed grant agreement. The authority shall consider the requested changes and may make such revisions to the proposed agreement as the authority determines to be prudent and in the best interests of the Iowa jobs II program and the state of Iowa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authority and the recipient have reached an agreement, the authority shall prepare and transmit to the recipient on behalf of the board a final contract, subject to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and the recipient are unable to reach an agreement, the authority shall, with the board’s approval, draft and transmit to the recipient on behalf of the board a final contract consisting of the Iowa jobs board’s best and final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Iowa jobs board within 45 days of transmittal of the final contract from the Iowa jobs board. Failure to do so may be cause for the Iowa jobs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38.8(4)</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local, or federal agencies before the activity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38.8(5)</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38.8(6)</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that change the scope, location, objectives or scale of an approved project. Amendments must be requested in writing by the recipient and are not considered effective until approved by the Iowa jobs board and confirmed in writing by IFA staff following the procedure specified in the contract between the recipient and the Iowa jobs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