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265—38.6</w:t>
      </w:r>
      <w:r>
        <w:rPr>
          <w:rFonts w:ascii="Times New Roman" w:hAnsi="Times New Roman"/>
          <w:b/>
          <w:i w:val="false"/>
          <w:color w:val="000000"/>
          <w:sz w:val="22"/>
        </w:rPr>
        <w:t xml:space="preserve">(16) </w:t>
      </w:r>
      <w:r>
        <w:rPr>
          <w:rFonts w:ascii="Times New Roman" w:hAnsi="Times New Roman"/>
          <w:b/>
          <w:i w:val="false"/>
          <w:color w:val="000000"/>
          <w:sz w:val="22"/>
        </w:rPr>
        <w:t xml:space="preserve">Calculation of jobs created. </w:t>
      </w:r>
      <w:r>
        <w:rPr>
          <w:rFonts w:ascii="Times New Roman" w:hAnsi="Times New Roman"/>
          <w:b w:val="false"/>
          <w:i w:val="false"/>
          <w:color w:val="000000"/>
          <w:sz w:val="22"/>
        </w:rPr>
        <w:t>For purposes of this chapter, new employment positions created and filled (or to be created and filled) as a result of the project and existing positions that would not have been continued were it not for Iowa jobs funding shall be counted when estimating the number of jobs to be created during the application process and when counting the number of actual jobs created in post-grant reporting. Both permanent and temporary positions filled by the grantee, a contractor, or a subcontractor (or sub-subcontractor, etc.), including construction work, shall be counted. To be counted, a position must be compensated. Indirect jobs and induced jobs shall not be counted.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