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265—38.4</w:t>
      </w:r>
      <w:r>
        <w:rPr>
          <w:rFonts w:ascii="Times New Roman" w:hAnsi="Times New Roman"/>
          <w:b/>
          <w:i w:val="false"/>
          <w:color w:val="000000"/>
          <w:sz w:val="22"/>
        </w:rPr>
        <w:t xml:space="preserve">(16) </w:t>
      </w:r>
      <w:r>
        <w:rPr>
          <w:rFonts w:ascii="Times New Roman" w:hAnsi="Times New Roman"/>
          <w:b/>
          <w:i w:val="false"/>
          <w:color w:val="000000"/>
          <w:sz w:val="22"/>
        </w:rPr>
        <w:t xml:space="preserve">Iowa jobs II program. </w:t>
      </w:r>
      <w:r>
        <w:rPr>
          <w:rFonts w:ascii="Times New Roman" w:hAnsi="Times New Roman"/>
          <w:b w:val="false"/>
          <w:i w:val="false"/>
          <w:color w:val="000000"/>
          <w:sz w:val="22"/>
        </w:rPr>
        <w:t>The board shall assist in the development and completion of public construction projects relating to disaster prevention by overseeing and providing approval of the administration of the Iowa jobs II grant program, as set forth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 xml:space="preserve">Eligible applicants for Iowa jobs II local infrastructure competitive grant program funds shall be Iowa cities and counties that apply smart planning principles and guidelines pursuant to division VII of </w:t>
      </w:r>
      <w:r>
        <w:rPr>
          <w:rFonts w:ascii="Times New Roman" w:hAnsi="Times New Roman"/>
          <w:b w:val="false"/>
          <w:i w:val="false"/>
          <w:color w:val="000000"/>
          <w:sz w:val="22"/>
        </w:rPr>
        <w:t>2010 Iowa Acts, Senate File 2389</w:t>
      </w:r>
      <w:r>
        <w:rPr>
          <w:rFonts w:ascii="Times New Roman" w:hAnsi="Times New Roman"/>
          <w:b w:val="false"/>
          <w:i w:val="false"/>
          <w:color w:val="000000"/>
          <w:sz w:val="22"/>
        </w:rPr>
        <w:t>. A city or county shall be deemed to apply smart planning principles if it has committed by resolution promptly to perform a review to determine the potential advantages and disadvantages to the city or county of adopting a comprehensive plan or, if the city or county already has a comprehensive plan, of amending that comprehensive plan. By such resolution, to be eligible, the city or county must also commit, in the event it is awarded a grant under the Iowa jobs II local infrastructure competitive grant program, to complete the adoption or amendment of its comprehensive plan utilizing smart planning principles within three years of the award of such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and forms of assistance. </w:t>
      </w:r>
      <w:r>
        <w:rPr>
          <w:rFonts w:ascii="Times New Roman" w:hAnsi="Times New Roman"/>
          <w:b w:val="false"/>
          <w:i w:val="false"/>
          <w:color w:val="000000"/>
          <w:sz w:val="22"/>
        </w:rPr>
        <w:t>For a project to be eligible to receive a competitive grant under the program, the project must be a public construction project relating to disaster prevention to be located in the state of Iowa which will have a demonstrated substantial local, regional, or statewide economic impact. Financial assistance shall be awarded only in the form of grants. In the event that a project has multiple intended uses or purposes, of which only a portion is related to disaster prevention, then only that portion of the project intended or designed for disaster prevention shall be deemed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award of a competitive grant to a project shall be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90 percent of the first $500,000 in total cost of the development and completion of a public construction project relating to disaster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50 percent of all additional costs of such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or a combination of applicants for a project within the same county shall not be awarded more than 40 percent of the funds available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with the approval of the chair and vice chair of the Iowa jobs board, shall have the ability to make technical corrections to awards that are within the intent of the terms of a board-approved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38.4(3)</w:t>
      </w:r>
      <w:r>
        <w:rPr>
          <w:rFonts w:ascii="Times New Roman" w:hAnsi="Times New Roman"/>
          <w:b w:val="false"/>
          <w:i w:val="false"/>
          <w:color w:val="000000"/>
          <w:sz w:val="22"/>
        </w:rPr>
        <w:t> </w:t>
      </w:r>
      <w:r>
        <w:rPr>
          <w:rFonts w:ascii="Times New Roman" w:hAnsi="Times New Roman"/>
          <w:b w:val="false"/>
          <w:i/>
          <w:color w:val="000000"/>
          <w:sz w:val="22"/>
        </w:rPr>
        <w:t xml:space="preserve">Ineligible projects. </w:t>
      </w:r>
      <w:r>
        <w:rPr>
          <w:rFonts w:ascii="Times New Roman" w:hAnsi="Times New Roman"/>
          <w:b w:val="false"/>
          <w:i w:val="false"/>
          <w:color w:val="000000"/>
          <w:sz w:val="22"/>
        </w:rPr>
        <w:t>The board shall not approve an application for a competitive grant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refinance a loan existing prior to the date of the initial financial assistance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project that has previously received financial assistance under the local infrastructure competitive grant program, unless the applicant demonstrates that the financial assistance would be used for a significant expansion of such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38.4(4)</w:t>
      </w:r>
      <w:r>
        <w:rPr>
          <w:rFonts w:ascii="Times New Roman" w:hAnsi="Times New Roman"/>
          <w:b w:val="false"/>
          <w:i w:val="false"/>
          <w:color w:val="000000"/>
          <w:sz w:val="22"/>
        </w:rPr>
        <w:t> </w:t>
      </w:r>
      <w:r>
        <w:rPr>
          <w:rFonts w:ascii="Times New Roman" w:hAnsi="Times New Roman"/>
          <w:b w:val="false"/>
          <w:i/>
          <w:color w:val="000000"/>
          <w:sz w:val="22"/>
        </w:rPr>
        <w:t xml:space="preserve">Threshold application requirements. </w:t>
      </w:r>
      <w:r>
        <w:rPr>
          <w:rFonts w:ascii="Times New Roman" w:hAnsi="Times New Roman"/>
          <w:b w:val="false"/>
          <w:i w:val="false"/>
          <w:color w:val="000000"/>
          <w:sz w:val="22"/>
        </w:rPr>
        <w:t>To be considered for a competitive grant, an application shall meet all of the following threshold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filing an application, the applicant must file, on the form and in the manner prescribed by the authority, a notice of intent to apply not less than 10 days prior to submitting its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must be submitted by an eligible applicant via the board’s application Web site (</w:t>
      </w:r>
      <w:hyperlink r:id="rId4">
        <w:r>
          <w:rPr>
            <w:rStyle w:val="Hyperlink"/>
            <w:rFonts w:ascii="Times New Roman" w:hAnsi="Times New Roman"/>
            <w:b w:val="false"/>
            <w:i w:val="false"/>
            <w:color w:val="000000"/>
            <w:sz w:val="22"/>
            <w:u w:val="single"/>
          </w:rPr>
          <w:t>http://www.ijobsiowa.gov</w:t>
        </w:r>
      </w:hyperlink>
      <w:r>
        <w:rPr>
          <w:rFonts w:ascii="Times New Roman" w:hAnsi="Times New Roman"/>
          <w:b w:val="false"/>
          <w:i w:val="false"/>
          <w:color w:val="000000"/>
          <w:sz w:val="22"/>
        </w:rPr>
        <w:t>) prior to the applicable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project must be for the development and completion of one or more public construction projects relating to disaster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must be demonstrated local support for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proposed public construction project must have a demonstrated substantial local, regional, or statewide economic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must document its application of smart planning principles;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application must coordinate any federal funds with state, local, and private funds and shall avoid any duplication of benefits that would limit or cause the loss of federal funding.</w:t>
      </w:r>
    </w:p>
    <w:p>
      <w:pPr>
        <w:spacing w:before="0" w:after="0"/>
        <w:ind w:left="120"/>
        <w:jc w:val="both"/>
      </w:pPr>
      <w:r>
        <w:rPr>
          <w:rFonts w:ascii="Times New Roman" w:hAnsi="Times New Roman"/>
          <w:b w:val="false"/>
          <w:i w:val="false"/>
          <w:color w:val="000000"/>
          <w:sz w:val="22"/>
        </w:rPr>
        <w:t>Prior to submitting an application to the review committee, the authority may contact the applicant to clarify information contained in the application. An application may be amended one time prior to being sent to the review committee. Applications may be otherwise amended with the approval of a majority of the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38.4(5)</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shall be reviewed and scored in rounds. The deadline for submission for the first round of applications shall be August 2, 2010. Subsequent rounds, if any, shall be at the discretion of the board as funding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reviewed by authority staff for completeness and eligibility. If additional information is required, the applicant shall be requested, in writing, to submit additional information. For applications that meet the threshold requirements, authority staff shall submit to the members of the review committee a copy of the application along with a review, analysis, and evaluation of complete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review committee members will score the applications according to the criteria set forth in subrule </w:t>
      </w:r>
      <w:hyperlink r:id="rId5">
        <w:r>
          <w:rPr>
            <w:rStyle w:val="Hyperlink"/>
            <w:rFonts w:ascii="Times New Roman" w:hAnsi="Times New Roman"/>
            <w:b w:val="false"/>
            <w:i w:val="false"/>
            <w:color w:val="000000"/>
            <w:sz w:val="22"/>
          </w:rPr>
          <w:t>38.4(6)</w:t>
        </w:r>
      </w:hyperlink>
      <w:r>
        <w:rPr>
          <w:rFonts w:ascii="Times New Roman" w:hAnsi="Times New Roman"/>
          <w:b w:val="false"/>
          <w:i w:val="false"/>
          <w:color w:val="000000"/>
          <w:sz w:val="22"/>
        </w:rPr>
        <w:t xml:space="preserve">, and authority staff shall compile the scores. To be eligible for a grant, a proposed project must receive a minimum score of at least 100 points on the scoring criteria listed in paragraphs </w:t>
      </w:r>
      <w:hyperlink r:id="rId6">
        <w:r>
          <w:rPr>
            <w:rStyle w:val="Hyperlink"/>
            <w:rFonts w:ascii="Times New Roman" w:hAnsi="Times New Roman"/>
            <w:b w:val="false"/>
            <w:i w:val="false"/>
            <w:color w:val="000000"/>
            <w:sz w:val="22"/>
          </w:rPr>
          <w:t>38.4(6)</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The review committee shall meet to review the ratings for each round of applications. Those applications meeting the minimum criteria shall be referred to the Iowa jobs board with a recommendation of final approval, denial, or deferral.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that an application should be approved, the board shall send the application to negotiations. Negotiations shall be conducted by IFA staff, who may work in cooperation with members of the Iowa jobs board. The negotiators shall negotiate the terms and conditions of a grant agreement to recommend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Following negotiations, the negotiating team shall report back to the Iowa jobs board as to whether it was able to agree with the applicant on the terms of a proposed grant agreement and, if so, the proposed terms and conditions resulting from the negotiations. The Iowa jobs board shall then vote, without further substantive revision, on whether to agree to the negotiated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negotiated terms are agreed to by the Iowa jobs board, a grant agreement memorializing the negotiated terms shall be executed by the chair or vice chair of the Iowa jobs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resources for the Iowa jobs II program are available at the Iowa jobs Web site: </w:t>
      </w:r>
      <w:hyperlink r:id="rId7">
        <w:r>
          <w:rPr>
            <w:rStyle w:val="Hyperlink"/>
            <w:rFonts w:ascii="Times New Roman" w:hAnsi="Times New Roman"/>
            <w:b w:val="false"/>
            <w:i w:val="false"/>
            <w:color w:val="000000"/>
            <w:sz w:val="22"/>
            <w:u w:val="single"/>
          </w:rPr>
          <w:t>www.ijobsiowa.gov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IFA may provide technical assistance as necessary to applicants. IFA staff may conduct on-site evaluations of proposed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denied or deferred application may be revised and resubmitted as a new application in a subsequent round, if any. Unless a deferred application is withdrawn by the applicant or revised and resubmitted as a new application, the authority shall keep it on file, and its score shall automatically be ranked among new applications submitted for the next round, if any, once such new applications have been scored.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38.4(6)</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criteria. </w:t>
      </w:r>
      <w:r>
        <w:rPr>
          <w:rFonts w:ascii="Times New Roman" w:hAnsi="Times New Roman"/>
          <w:b w:val="false"/>
          <w:i w:val="false"/>
          <w:color w:val="000000"/>
          <w:sz w:val="22"/>
        </w:rPr>
        <w:t>The Iowa jobs program review committee shall evaluate and rank applications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The total number and quality of jobs to be created and the benefits likely to accrue to areas distressed by high unemployment (0-40 points). </w:t>
      </w:r>
      <w:r>
        <w:rPr>
          <w:rFonts w:ascii="Times New Roman" w:hAnsi="Times New Roman"/>
          <w:b w:val="false"/>
          <w:i w:val="false"/>
          <w:color w:val="000000"/>
          <w:sz w:val="22"/>
        </w:rPr>
        <w:t>The number of jobs created and other measures of economic impact to areas distressed by high unemployment, including long-term tax generation, shall be evaluated. Rating factors for this criterion include, but are not necessarily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jobs. The number of jobs reasonably projected to be created or retained and the number of hours anticipated for each such job shall be compared and ranked.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Quality of jobs. The wages to be paid for each position to be created or retained, the average benefits (including health benefits) to be provided, as well as other subjective qualitative factors, such as work conditions and safety, shall be compared and ranked.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benefits likely to accrue to areas distressed by high unemployment, such as the degree to which the project enhances the quality of life in a region and contributes to the community’s efforts to retain and attract a skilled workforce.</w:t>
      </w:r>
    </w:p>
    <w:p>
      <w:pPr>
        <w:spacing w:before="0" w:after="0"/>
        <w:ind w:left="120"/>
        <w:jc w:val="both"/>
      </w:pPr>
      <w:r>
        <w:rPr>
          <w:rFonts w:ascii="Times New Roman" w:hAnsi="Times New Roman"/>
          <w:b w:val="false"/>
          <w:i w:val="false"/>
          <w:color w:val="000000"/>
          <w:sz w:val="22"/>
        </w:rPr>
        <w:t>In order to be eligible for funding, proposals must score at least 20 points on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Financial feasibility, including the ability of projects to fund depreciation costs or replacement reserves, and the availability of other federal, state, local, and private sources of funds (0-40 points). </w:t>
      </w:r>
      <w:r>
        <w:rPr>
          <w:rFonts w:ascii="Times New Roman" w:hAnsi="Times New Roman"/>
          <w:b w:val="false"/>
          <w:i w:val="false"/>
          <w:color w:val="000000"/>
          <w:sz w:val="22"/>
        </w:rPr>
        <w:t>The feasibility of the proposed project shall be evaluated. Rating factors for this criterion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(0-15 points) A financial analysis of the project, which shall include a description of sources of funding, project budget, and detailed projections of the project’s revenues and expenses for the projected useful life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(0-15 points) An analysis of the operational plan, which shall provide detailed information about how the proposed project will be operated and maintained, including a time line for implementing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(0-10 points) The extent to which the applicant will use funds other than an Iowa jobs II grant to fund its project. For each percentage (rounded to the nearest percentage divisible by 10) of the total projected project cost that is to be funded with non-Iowa jobs II grant funds, the project shall receive one point.</w:t>
      </w:r>
    </w:p>
    <w:p>
      <w:pPr>
        <w:spacing w:before="0" w:after="0"/>
        <w:ind w:left="120"/>
        <w:jc w:val="both"/>
      </w:pPr>
      <w:r>
        <w:rPr>
          <w:rFonts w:ascii="Times New Roman" w:hAnsi="Times New Roman"/>
          <w:b w:val="false"/>
          <w:i w:val="false"/>
          <w:color w:val="000000"/>
          <w:sz w:val="22"/>
        </w:rPr>
        <w:t>In order to be eligible for funding, proposals must score at least 20 points on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Sustainability and energy efficiency. </w:t>
      </w:r>
      <w:r>
        <w:rPr>
          <w:rFonts w:ascii="Times New Roman" w:hAnsi="Times New Roman"/>
          <w:b w:val="false"/>
          <w:i w:val="false"/>
          <w:color w:val="000000"/>
          <w:sz w:val="22"/>
        </w:rPr>
        <w:t>The sustainability and energy efficiency of the proposed project shall be evaluated. Rating factors for this criterion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Sustainability (0-20 points). The extent to which the project has taken sustainability planning principles into consideration.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project shall be evaluated based on the following specific factors: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Efficient and effective use of land resources and existing infrastructure by encouraging compact development in areas with existing infrastructure or capacity to avoid costly duplication of services and costly use of land; conservation of open space and farmland and preservation of critical environmental areas; and promotion of the safety, livability, and revitalization of existing urban and rural communities. Compact development maximizes public infrastructure investment and promotes mixed uses, greater density, bicycle and pedestrian networks, and interconnection with the existing street grid.</w:t>
      </w:r>
    </w:p>
    <w:p>
      <w:pPr>
        <w:spacing w:before="0" w:after="0"/>
        <w:ind w:left="120"/>
        <w:jc w:val="both"/>
      </w:pPr>
      <w:r>
        <w:rPr>
          <w:rFonts w:ascii="Times New Roman" w:hAnsi="Times New Roman"/>
          <w:b w:val="false"/>
          <w:i w:val="false"/>
          <w:color w:val="000000"/>
          <w:sz w:val="22"/>
        </w:rPr>
        <w:t>• Provision for a variety of transportation choices, including public transit and pedestrian and bicycle traffic.</w:t>
      </w:r>
    </w:p>
    <w:p>
      <w:pPr>
        <w:spacing w:before="0" w:after="0"/>
        <w:ind w:left="120"/>
        <w:jc w:val="both"/>
      </w:pPr>
      <w:r>
        <w:rPr>
          <w:rFonts w:ascii="Times New Roman" w:hAnsi="Times New Roman"/>
          <w:b w:val="false"/>
          <w:i w:val="false"/>
          <w:color w:val="000000"/>
          <w:sz w:val="22"/>
        </w:rPr>
        <w:t>• Construction and promotion of developments, buildings, and infrastructure that conserve natural resources by reducing waste and pollution through efficient use of land, energy, water, and materials.</w:t>
      </w:r>
    </w:p>
    <w:p>
      <w:pPr>
        <w:spacing w:before="0" w:after="0"/>
        <w:ind w:left="120"/>
        <w:jc w:val="both"/>
      </w:pPr>
      <w:r>
        <w:rPr>
          <w:rFonts w:ascii="Times New Roman" w:hAnsi="Times New Roman"/>
          <w:b w:val="false"/>
          <w:i w:val="false"/>
          <w:color w:val="000000"/>
          <w:sz w:val="22"/>
        </w:rPr>
        <w:t>• Capture, retention, infiltration and harvesting of rainfall using storm water best management practices such as permeable pavement, bioretention cells, bioswales, and rain gardens to protect water resources.</w:t>
      </w:r>
    </w:p>
    <w:p>
      <w:pPr>
        <w:spacing w:before="0" w:after="0"/>
        <w:ind w:left="120"/>
        <w:jc w:val="both"/>
      </w:pPr>
      <w:r>
        <w:rPr>
          <w:rFonts w:ascii="Times New Roman" w:hAnsi="Times New Roman"/>
          <w:b w:val="false"/>
          <w:i w:val="false"/>
          <w:color w:val="000000"/>
          <w:sz w:val="22"/>
        </w:rPr>
        <w:t>• The extent to which project design, construction, and use incorporate renewable energy sources including, but not limited to, solar, wind, geothermal, and biofuels, and support the following state of Iowa plans and goals: (1) office of energy independence’s Iowa energy independence plan; and (2) general reduction of greenhouse gas emissions.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Alternatively, in lieu of being evaluated on each of the criteria set forth above, projects which are designed to receive certification (either platinum level, gold level, silver level, or basic LEED certification) from the United States Green Building Council in the Leadership in Energy and Environmental Design (LEED) Green Building Rating System version 3.0, and which comply with the requirements of ASHRAE 90.1-2007, Energy Standard for Buildings Except Low-Rise Residential Buildings, published by the American Society of Heating, Refrigerating and Air-Conditioning Engineers, 1791 Tullie Circle, N.E., Atlanta, GA 30329, shall receive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Energy efficiency (0-20 points). The extent to which the project has taken energy efficiency planning principles into consideration.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case of new construction, whether the project is designed to meet the current state building energy code. The application for the project must include a letter from the engineer or architect to IFA certifying whether the proposed construction meets the current state building energy code. Additionally, the application should address whether the proposed project is designed to meet energy star standards. If the project is of such a nature that the current state building energy code does not apply to it, the letter shall so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rehabilitation of existing structures, an energy audit conducted by a certified energy rater should be provided on each building prior to the preparation of the final work rehabilitation order to determine the feasibility of meeting the requirements of the current state building energy code and energy star standards prior to the start of the rehabilitation. If it is determined to be feasible to meet the current state building energy code standards and energy star standards, appropriate specifications will be written into the work order. If it is not feasible to meet the requirements of the current state building energy code and energy star standards (or either of them), the application will provide information indicating what effective and cost-effective energy improvements will be included as a part of the rehabilitation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Benefits for disaster prevention (0-40 points). </w:t>
      </w:r>
      <w:r>
        <w:rPr>
          <w:rFonts w:ascii="Times New Roman" w:hAnsi="Times New Roman"/>
          <w:b w:val="false"/>
          <w:i w:val="false"/>
          <w:color w:val="000000"/>
          <w:sz w:val="22"/>
        </w:rPr>
        <w:t>The likely benefits for disaster prevention of the proposed project shall be evaluated. Rating factors for this criterion include, but are not limited to, whether the proposed project is designed to prevent, reduce (in number or in scope), mitigate, or ameliorate future disasters or the losses therefrom.</w:t>
      </w:r>
    </w:p>
    <w:p>
      <w:pPr>
        <w:spacing w:before="0" w:after="0"/>
        <w:ind w:left="120"/>
        <w:jc w:val="both"/>
      </w:pPr>
      <w:r>
        <w:rPr>
          <w:rFonts w:ascii="Times New Roman" w:hAnsi="Times New Roman"/>
          <w:b w:val="false"/>
          <w:i w:val="false"/>
          <w:color w:val="000000"/>
          <w:sz w:val="22"/>
        </w:rPr>
        <w:t>In order to be eligible for funding, proposals must score at least 20 points on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The project’s readiness to proceed (0-40 points). </w:t>
      </w:r>
      <w:r>
        <w:rPr>
          <w:rFonts w:ascii="Times New Roman" w:hAnsi="Times New Roman"/>
          <w:b w:val="false"/>
          <w:i w:val="false"/>
          <w:color w:val="000000"/>
          <w:sz w:val="22"/>
        </w:rPr>
        <w:t>The readiness of the project to proceed shall be evaluated. Wherever applicable, rating factors for this criterion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all engineering and architectural work required for construction to begin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all financing for the project (other than competitive grant funds awarded under this chapter) has been committed and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all real property interests (including easements and temporary construction easements) necessary for the construction of the project have been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all necessary governmental approvals, at the federal, state, and local levels (including, but not limited to, zoning variances, building permits, approval from the Army Corps of Engineers, etc.), have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project has demonstrated a reasonable likelihood of incurring at least 10 percent of the project’s total projected development cost within three months of execution of the grant award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General scoring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instances where a given criterion is not applicable to a proposed project due to the nature of the project, the review committee members may adjust scoring so that the project is not disadvantaged as a result of the inapplicable criterion. For example, if an earthen levee is proposed as a means of flood control, it should not lose points relative to other proposed projects because it does not comply with the current state building energy code (which does not apply to earthen levees).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proposed project that is identified in an Iowa great places agreement, pursuant to Iowa Code section </w:t>
      </w:r>
      <w:hyperlink r:id="rId8">
        <w:r>
          <w:rPr>
            <w:rStyle w:val="Hyperlink"/>
            <w:rFonts w:ascii="Times New Roman" w:hAnsi="Times New Roman"/>
            <w:b w:val="false"/>
            <w:i w:val="false"/>
            <w:color w:val="000000"/>
            <w:sz w:val="22"/>
          </w:rPr>
          <w:t>303.3C</w:t>
        </w:r>
      </w:hyperlink>
      <w:r>
        <w:rPr>
          <w:rFonts w:ascii="Times New Roman" w:hAnsi="Times New Roman"/>
          <w:b w:val="false"/>
          <w:i w:val="false"/>
          <w:color w:val="000000"/>
          <w:sz w:val="22"/>
        </w:rPr>
        <w:t>, shall have an additional two points added to its cumulative point total.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jobsiowa.gov" Type="http://schemas.openxmlformats.org/officeDocument/2006/relationships/hyperlink" Id="rId4"/>
    <Relationship TargetMode="External" Target="https://www.legis.iowa.gov/docs/iac/rule/265.38.4.pdf" Type="http://schemas.openxmlformats.org/officeDocument/2006/relationships/hyperlink" Id="rId5"/>
    <Relationship TargetMode="External" Target="https://www.legis.iowa.gov/docs/iac/rule/265.38.4.pdf" Type="http://schemas.openxmlformats.org/officeDocument/2006/relationships/hyperlink" Id="rId6"/>
    <Relationship TargetMode="External" Target="www.ijobsiowa.gov" Type="http://schemas.openxmlformats.org/officeDocument/2006/relationships/hyperlink" Id="rId7"/>
    <Relationship TargetMode="External" Target="https://www.legis.iowa.gov/docs/ico/chapter/303.3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