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265—38.3</w:t>
      </w:r>
      <w:r>
        <w:rPr>
          <w:rFonts w:ascii="Times New Roman" w:hAnsi="Times New Roman"/>
          <w:b/>
          <w:i w:val="false"/>
          <w:color w:val="000000"/>
          <w:sz w:val="22"/>
        </w:rPr>
        <w:t xml:space="preserve">(16) </w:t>
      </w:r>
      <w:r>
        <w:rPr>
          <w:rFonts w:ascii="Times New Roman" w:hAnsi="Times New Roman"/>
          <w:b/>
          <w:i w:val="false"/>
          <w:color w:val="000000"/>
          <w:sz w:val="22"/>
        </w:rPr>
        <w:t xml:space="preserve">Allocation of funds. </w:t>
      </w:r>
      <w:r>
        <w:rPr>
          <w:rFonts w:ascii="Times New Roman" w:hAnsi="Times New Roman"/>
          <w:b w:val="false"/>
          <w:i w:val="false"/>
          <w:color w:val="000000"/>
          <w:sz w:val="22"/>
        </w:rPr>
        <w:t xml:space="preserve">All Iowa jobs II funds shall be awarded and used as specified in </w:t>
      </w:r>
      <w:r>
        <w:rPr>
          <w:rFonts w:ascii="Times New Roman" w:hAnsi="Times New Roman"/>
          <w:b w:val="false"/>
          <w:i w:val="false"/>
          <w:color w:val="000000"/>
          <w:sz w:val="22"/>
        </w:rPr>
        <w:t>2010 Iowa Acts, Senate File 2389</w:t>
      </w:r>
      <w:r>
        <w:rPr>
          <w:rFonts w:ascii="Times New Roman" w:hAnsi="Times New Roman"/>
          <w:b w:val="false"/>
          <w:i w:val="false"/>
          <w:color w:val="000000"/>
          <w:sz w:val="22"/>
        </w:rPr>
        <w:t>, division VII, and these rules. If a city or county that is awarded funds under the program has not begun drawing funds within one year of the date of the award, the grant shall terminate and no funds shall be disbursed unless the board, in its sole discretion, prior to the first anniversary of the date of the award, grants an extension due to extraordinary circumstances. Any portion of an amount allocated for projects that remains unexpended or unencumbered one year after the allocation has been made by the board may be reallocated by the board to another project category, at the discretion of the board. All bond proceeds shall be expended within three years from when the allocation was initially made. The total amount of allocations for disaster prevention projects (pursuant to the local infrastructure competitive grant program) shall not exceed $30 million for the fiscal year beginning July 1, 2010.</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8890B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