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265—37.9</w:t>
      </w:r>
      <w:r>
        <w:rPr>
          <w:rFonts w:ascii="Times New Roman" w:hAnsi="Times New Roman"/>
          <w:b/>
          <w:i w:val="false"/>
          <w:color w:val="000000"/>
          <w:sz w:val="22"/>
        </w:rPr>
        <w:t xml:space="preserve">(16) </w:t>
      </w:r>
      <w:r>
        <w:rPr>
          <w:rFonts w:ascii="Times New Roman" w:hAnsi="Times New Roman"/>
          <w:b/>
          <w:i w:val="false"/>
          <w:color w:val="000000"/>
          <w:sz w:val="22"/>
        </w:rPr>
        <w:t xml:space="preserve">Expiration of allocations. </w:t>
      </w:r>
      <w:r>
        <w:rPr>
          <w:rFonts w:ascii="Times New Roman" w:hAnsi="Times New Roman"/>
          <w:b w:val="false"/>
          <w:i w:val="false"/>
          <w:color w:val="000000"/>
          <w:sz w:val="22"/>
        </w:rPr>
        <w:t>An allocation of recovery zone bonding authority pursuant to this chapter shall remain valid for 120 days from the date of allocation. If the sale of bonds for which an allocation was made has not closed within such time, the allocation shall expire and the allotment shall revert to the authority to be reallocated, if possible; provided, however, that if the 120th day following the date of allocation is a Saturday, Sunday, or any day on which the offices of the state banking institutions or savings and loan associations in the state are authorized or required to close, the expiration date shall be extended to the first day thereafter which is not a Saturday, Sunday or previously described day.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8709B</w:t>
      </w:r>
      <w:r>
        <w:rPr>
          <w:rFonts w:ascii="Times New Roman" w:hAnsi="Times New Roman"/>
          <w:b w:val="false"/>
          <w:i w:val="false"/>
          <w:color w:val="000000"/>
          <w:sz w:val="16"/>
        </w:rPr>
        <w:t>, IAB 5/5/10, effective 4/12/10</w:t>
      </w:r>
      <w:r>
        <w:rPr>
          <w:rFonts w:ascii="Times New Roman" w:hAnsi="Times New Roman"/>
          <w:b w:val="false"/>
          <w:i w:val="false"/>
          <w:color w:val="000000"/>
          <w:sz w:val="16"/>
        </w:rPr>
        <w:t xml:space="preserve">; </w:t>
      </w:r>
      <w:r>
        <w:rPr>
          <w:rFonts w:ascii="Times New Roman" w:hAnsi="Times New Roman"/>
          <w:b/>
          <w:i w:val="false"/>
          <w:color w:val="000000"/>
          <w:sz w:val="16"/>
        </w:rPr>
        <w:t>ARC 8962B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