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265—37.8</w:t>
      </w:r>
      <w:r>
        <w:rPr>
          <w:rFonts w:ascii="Times New Roman" w:hAnsi="Times New Roman"/>
          <w:b/>
          <w:i w:val="false"/>
          <w:color w:val="000000"/>
          <w:sz w:val="22"/>
        </w:rPr>
        <w:t xml:space="preserve">(16) </w:t>
      </w:r>
      <w:r>
        <w:rPr>
          <w:rFonts w:ascii="Times New Roman" w:hAnsi="Times New Roman"/>
          <w:b/>
          <w:i w:val="false"/>
          <w:color w:val="000000"/>
          <w:sz w:val="22"/>
        </w:rPr>
        <w:t xml:space="preserve">Certification of allocation. </w:t>
      </w:r>
      <w:r>
        <w:rPr>
          <w:rFonts w:ascii="Times New Roman" w:hAnsi="Times New Roman"/>
          <w:b w:val="false"/>
          <w:i w:val="false"/>
          <w:color w:val="000000"/>
          <w:sz w:val="22"/>
        </w:rPr>
        <w:t>Upon receipt of a completed application and verification that sufficient RZ bonding authority exists for such application, the authority shall promptly certify to the applicant the amount of the RZED bond or RZ facility bond allocation, as applicable, awarded to the project for which the application was submitted. The authority shall continue to award allocations for eligible projects until the available recovery zone bonding authority is allocated. If the remaining capacity is not sufficient to fully fund an application which is next in order for allocation, the authority shall notify the applicant of the amount that is available and the applicant shall have the option to take what is available within five calendar days of receiving notice of availability. If the applicant does not notify the authority of its decision to take the available allocation within five calendar days of receiving notice of that option, an allotment shall be offered to the next application on the list under the same conditions.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