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265—37.7</w:t>
      </w:r>
      <w:r>
        <w:rPr>
          <w:rFonts w:ascii="Times New Roman" w:hAnsi="Times New Roman"/>
          <w:b/>
          <w:i w:val="false"/>
          <w:color w:val="000000"/>
          <w:sz w:val="22"/>
        </w:rPr>
        <w:t xml:space="preserve">(16) </w:t>
      </w:r>
      <w:r>
        <w:rPr>
          <w:rFonts w:ascii="Times New Roman" w:hAnsi="Times New Roman"/>
          <w:b/>
          <w:i w:val="false"/>
          <w:color w:val="000000"/>
          <w:sz w:val="22"/>
        </w:rPr>
        <w:t xml:space="preserve">Allocations.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37.7(1)</w:t>
      </w:r>
      <w:r>
        <w:rPr>
          <w:rFonts w:ascii="Times New Roman" w:hAnsi="Times New Roman"/>
          <w:b w:val="false"/>
          <w:i w:val="false"/>
          <w:color w:val="000000"/>
          <w:sz w:val="22"/>
        </w:rPr>
        <w:t> </w:t>
      </w:r>
      <w:r>
        <w:rPr>
          <w:rFonts w:ascii="Times New Roman" w:hAnsi="Times New Roman"/>
          <w:b w:val="false"/>
          <w:i w:val="false"/>
          <w:color w:val="000000"/>
          <w:sz w:val="22"/>
        </w:rPr>
        <w:t>The authority will track the amount and type of RZ bonds issued and the amount of RZ bonding authority available to be allocated.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37.7(2)</w:t>
      </w:r>
      <w:r>
        <w:rPr>
          <w:rFonts w:ascii="Times New Roman" w:hAnsi="Times New Roman"/>
          <w:b w:val="false"/>
          <w:i w:val="false"/>
          <w:color w:val="000000"/>
          <w:sz w:val="22"/>
        </w:rPr>
        <w:t> </w:t>
      </w:r>
      <w:r>
        <w:rPr>
          <w:rFonts w:ascii="Times New Roman" w:hAnsi="Times New Roman"/>
          <w:b w:val="false"/>
          <w:i w:val="false"/>
          <w:color w:val="000000"/>
          <w:sz w:val="22"/>
        </w:rPr>
        <w:t>Allocations will only be made for eligible projects in those counties that received an allocation of authority to issue RZ bonds pursuant to IRS Notice 2009-50. While the allocations will be limited to projects within those counties that originally received an allocation, the amount of the allocation from the authority will not be limited to the original allocated amounts under Notice 2009-50.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37.7(3)</w:t>
      </w:r>
      <w:r>
        <w:rPr>
          <w:rFonts w:ascii="Times New Roman" w:hAnsi="Times New Roman"/>
          <w:b w:val="false"/>
          <w:i w:val="false"/>
          <w:color w:val="000000"/>
          <w:sz w:val="22"/>
        </w:rPr>
        <w:t> </w:t>
      </w:r>
      <w:r>
        <w:rPr>
          <w:rFonts w:ascii="Times New Roman" w:hAnsi="Times New Roman"/>
          <w:b w:val="false"/>
          <w:i w:val="false"/>
          <w:color w:val="000000"/>
          <w:sz w:val="22"/>
        </w:rPr>
        <w:t>Allocations shall be made to eligible applicants on the basis of the chronological order of receipt of applications. Chronological order of receipt shall be determined by the date, hour and minute indicated by the time stamp as affixed to the application at the offices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37.7(4)</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applications that are received by the authority on or prior to April 12, 2010, pursuant to the provisions of rule </w:t>
      </w:r>
      <w:hyperlink r:id="rId4">
        <w:r>
          <w:rPr>
            <w:rStyle w:val="Hyperlink"/>
            <w:rFonts w:ascii="Times New Roman" w:hAnsi="Times New Roman"/>
            <w:b w:val="false"/>
            <w:i w:val="false"/>
            <w:color w:val="000000"/>
            <w:sz w:val="22"/>
          </w:rPr>
          <w:t>265—37.6</w:t>
        </w:r>
      </w:hyperlink>
      <w:r>
        <w:rPr>
          <w:rFonts w:ascii="Times New Roman" w:hAnsi="Times New Roman"/>
          <w:b w:val="false"/>
          <w:i w:val="false"/>
          <w:color w:val="000000"/>
          <w:sz w:val="22"/>
        </w:rPr>
        <w:t xml:space="preserve">(16) shall be considered simultaneously received at the opening of business on April 12, 2010, and the same date, hour and minute shall be stamped on each application so received. If the total amount of allocations requested in all of the applications received on such date exceeds the total amount determined by the authority as available to be allocated, the applications will be considered for allocation in the order determined pursuant to the procedures set forth in subrule </w:t>
      </w:r>
      <w:hyperlink r:id="rId5">
        <w:r>
          <w:rPr>
            <w:rStyle w:val="Hyperlink"/>
            <w:rFonts w:ascii="Times New Roman" w:hAnsi="Times New Roman"/>
            <w:b w:val="false"/>
            <w:i w:val="false"/>
            <w:color w:val="000000"/>
            <w:sz w:val="22"/>
          </w:rPr>
          <w:t>37.7(5)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37.7(5)</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determine the order of allocation to two or more applications that are simultaneously received pursuant to subrule </w:t>
      </w:r>
      <w:hyperlink r:id="rId6">
        <w:r>
          <w:rPr>
            <w:rStyle w:val="Hyperlink"/>
            <w:rFonts w:ascii="Times New Roman" w:hAnsi="Times New Roman"/>
            <w:b w:val="false"/>
            <w:i w:val="false"/>
            <w:color w:val="000000"/>
            <w:sz w:val="22"/>
          </w:rPr>
          <w:t>37.7(4)</w:t>
        </w:r>
      </w:hyperlink>
      <w:r>
        <w:rPr>
          <w:rFonts w:ascii="Times New Roman" w:hAnsi="Times New Roman"/>
          <w:b w:val="false"/>
          <w:i w:val="false"/>
          <w:color w:val="000000"/>
          <w:sz w:val="22"/>
        </w:rPr>
        <w:t xml:space="preserve"> and for which there is insufficient capacity to allocate to each the full allotment requested, each such application shall be assigned a preference number determined by a random drawing to be conducted at the authority’s offices within one week following the receipt of the applications. The authority shall notify the affected applicants in writing and shall post a notice at its offices of the time and place of the drawing not less than three days prior to the scheduled drawing. Any person desiring to attend and witness the drawing and assigning of preference numbers may do so. Each application shall be assigned an identification code that shall be written on the outside of the sealed envelope containing the application. The identification codes shall also be written on strips of paper and placed in individual envelopes and sealed. The sealed envelopes containing identification codes shall be placed in a container, mixed, and drawn from the container at random by a member of the authority’s staff. The application corresponding with the identification code that is drawn first shall be placed first on the list of applicants to receive an allotment. The application corresponding with the identification code that is selected second shall be placed second on the list, and so forth. Drawings shall continue until all applications are assigned a place on the list of applications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37.7(6)</w:t>
      </w:r>
      <w:r>
        <w:rPr>
          <w:rFonts w:ascii="Times New Roman" w:hAnsi="Times New Roman"/>
          <w:b w:val="false"/>
          <w:i w:val="false"/>
          <w:color w:val="000000"/>
          <w:sz w:val="22"/>
        </w:rPr>
        <w:t> </w:t>
      </w:r>
      <w:r>
        <w:rPr>
          <w:rFonts w:ascii="Times New Roman" w:hAnsi="Times New Roman"/>
          <w:b w:val="false"/>
          <w:i w:val="false"/>
          <w:color w:val="000000"/>
          <w:sz w:val="22"/>
        </w:rPr>
        <w:t>Applications received after April 12, 2010, shall be added to the appropriate list (whether for RZED bonds or RZ facility bonds) depending upon the subject of the application in the chronological order received.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8709B</w:t>
      </w:r>
      <w:r>
        <w:rPr>
          <w:rFonts w:ascii="Times New Roman" w:hAnsi="Times New Roman"/>
          <w:b w:val="false"/>
          <w:i w:val="false"/>
          <w:color w:val="000000"/>
          <w:sz w:val="16"/>
        </w:rPr>
        <w:t>, IAB 5/5/10, effective 4/12/10</w:t>
      </w:r>
      <w:r>
        <w:rPr>
          <w:rFonts w:ascii="Times New Roman" w:hAnsi="Times New Roman"/>
          <w:b w:val="false"/>
          <w:i w:val="false"/>
          <w:color w:val="000000"/>
          <w:sz w:val="16"/>
        </w:rPr>
        <w:t xml:space="preserve">; </w:t>
      </w:r>
      <w:r>
        <w:rPr>
          <w:rFonts w:ascii="Times New Roman" w:hAnsi="Times New Roman"/>
          <w:b/>
          <w:i w:val="false"/>
          <w:color w:val="000000"/>
          <w:sz w:val="16"/>
        </w:rPr>
        <w:t>ARC 8962B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65.37.6.pdf" Type="http://schemas.openxmlformats.org/officeDocument/2006/relationships/hyperlink" Id="rId4"/>
    <Relationship TargetMode="External" Target="https://www.legis.iowa.gov/docs/iac/rule/265.37.7.pdf" Type="http://schemas.openxmlformats.org/officeDocument/2006/relationships/hyperlink" Id="rId5"/>
    <Relationship TargetMode="External" Target="https://www.legis.iowa.gov/docs/iac/rule/265.37.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