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265—37.6</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for allocation of recaptured or waived RZ bond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w:t>
      </w:r>
      <w:r>
        <w:rPr>
          <w:rFonts w:ascii="Times New Roman" w:hAnsi="Times New Roman"/>
          <w:b w:val="false"/>
          <w:i w:val="false"/>
          <w:color w:val="000000"/>
          <w:sz w:val="22"/>
        </w:rPr>
        <w:t> </w:t>
      </w:r>
      <w:r>
        <w:rPr>
          <w:rFonts w:ascii="Times New Roman" w:hAnsi="Times New Roman"/>
          <w:b w:val="false"/>
          <w:i w:val="false"/>
          <w:color w:val="000000"/>
          <w:sz w:val="22"/>
        </w:rPr>
        <w:t>An applicant or beneficiary, or the duly authorized agent of an applicant or beneficiary, requesting an allocation must make an application by filing the form entitled “Application for Recovery Zone Bonds” available from the authority. Such applicant must possess the ability to issue RZ bonds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37.6(2)</w:t>
      </w:r>
      <w:r>
        <w:rPr>
          <w:rFonts w:ascii="Times New Roman" w:hAnsi="Times New Roman"/>
          <w:b w:val="false"/>
          <w:i w:val="false"/>
          <w:color w:val="000000"/>
          <w:sz w:val="22"/>
        </w:rPr>
        <w:t> </w:t>
      </w:r>
      <w:r>
        <w:rPr>
          <w:rFonts w:ascii="Times New Roman" w:hAnsi="Times New Roman"/>
          <w:b w:val="false"/>
          <w:i w:val="false"/>
          <w:color w:val="000000"/>
          <w:sz w:val="22"/>
        </w:rPr>
        <w:t>As part of its application, the applicant must include a copy of the resolution or other official action designating the recovery zone for which the application is being made.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