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265—37.5</w:t>
      </w:r>
      <w:r>
        <w:rPr>
          <w:rFonts w:ascii="Times New Roman" w:hAnsi="Times New Roman"/>
          <w:b/>
          <w:i w:val="false"/>
          <w:color w:val="000000"/>
          <w:sz w:val="22"/>
        </w:rPr>
        <w:t xml:space="preserve">(16) </w:t>
      </w:r>
      <w:r>
        <w:rPr>
          <w:rFonts w:ascii="Times New Roman" w:hAnsi="Times New Roman"/>
          <w:b/>
          <w:i w:val="false"/>
          <w:color w:val="000000"/>
          <w:sz w:val="22"/>
        </w:rPr>
        <w:t xml:space="preserve">Waiver of RZ bonding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val="false"/>
          <w:color w:val="000000"/>
          <w:sz w:val="22"/>
        </w:rPr>
        <w:t>A county or large municipality that has received an allocation of RZ bonds may, prior to July 1, 2010, voluntarily waive all or part of such allocation to the authority by completing the applicable RZ bond waiver form provided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the Act, any portion of a county or large municipality’s RZ bond allocation that has not been used by July 1, 2010, is deemed waived, and such amount will be subject to reallocation by the authority pursuant to rule </w:t>
      </w:r>
      <w:hyperlink r:id="rId4">
        <w:r>
          <w:rPr>
            <w:rStyle w:val="Hyperlink"/>
            <w:rFonts w:ascii="Times New Roman" w:hAnsi="Times New Roman"/>
            <w:b w:val="false"/>
            <w:i w:val="false"/>
            <w:color w:val="000000"/>
            <w:sz w:val="22"/>
          </w:rPr>
          <w:t>265—37.7</w:t>
        </w:r>
      </w:hyperlink>
      <w:r>
        <w:rPr>
          <w:rFonts w:ascii="Times New Roman" w:hAnsi="Times New Roman"/>
          <w:b w:val="false"/>
          <w:i w:val="false"/>
          <w:color w:val="000000"/>
          <w:sz w:val="22"/>
        </w:rPr>
        <w:t>(16). The authority will consider an allocation (or a portion thereof) used if the issuer for such allocation has taken substantive action toward issuance of the applicable RZ bonds. “Substantive action” includes, but is not limited to, (a) the adoption of resolutions or ordinances authorizing the sale or issuance of bonds, or (b) the completion of procedures, such as public hearings, referenda or related petition periods, to vest authority for the issuance of bonds.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37.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