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265—37.1</w:t>
      </w:r>
      <w:r>
        <w:rPr>
          <w:rFonts w:ascii="Times New Roman" w:hAnsi="Times New Roman"/>
          <w:b/>
          <w:i w:val="false"/>
          <w:color w:val="000000"/>
          <w:sz w:val="22"/>
        </w:rPr>
        <w:t xml:space="preserve">(16) </w:t>
      </w:r>
      <w:r>
        <w:rPr>
          <w:rFonts w:ascii="Times New Roman" w:hAnsi="Times New Roman"/>
          <w:b/>
          <w:i w:val="false"/>
          <w:color w:val="000000"/>
          <w:sz w:val="22"/>
        </w:rPr>
        <w:t xml:space="preserve">General. </w:t>
      </w:r>
      <w:r>
        <w:rPr>
          <w:rFonts w:ascii="Times New Roman" w:hAnsi="Times New Roman"/>
          <w:b w:val="false"/>
          <w:i w:val="false"/>
          <w:color w:val="000000"/>
          <w:sz w:val="22"/>
        </w:rPr>
        <w:t xml:space="preserve">The American Recovery and Reinvestment Act of 2009 created two types of recovery zone (“RZ”) bonds: recovery zone economic development (“RZED”) bonds and recovery zone facility (“RZ facility”) bonds. The applicable provisions are codified in Sections 1400U-1 – 1400U-3 of the Internal Revenue Code of 1986, as amended. The law provides that eligible issuers in Iowa may issue up to $90 million of RZED bonds and up to $135 million of RZ facility bonds. Through Notice 2009-50, the Internal Revenue Service published the applicable RZ bond allocations for Iowa, which amounts are included as Exhibit A to this chapter. </w:t>
      </w:r>
    </w:p>
    <w:p>
      <w:pPr>
        <w:spacing w:before="0" w:after="0"/>
        <w:ind w:left="120"/>
        <w:jc w:val="left"/>
      </w:pPr>
      <w:r>
        <w:rPr>
          <w:rFonts w:ascii="Times New Roman" w:hAnsi="Times New Roman"/>
          <w:b w:val="false"/>
          <w:i w:val="false"/>
          <w:color w:val="000000"/>
          <w:sz w:val="22"/>
        </w:rPr>
        <w:t xml:space="preserve">Pursuant to </w:t>
      </w:r>
      <w:r>
        <w:rPr>
          <w:rFonts w:ascii="Times New Roman" w:hAnsi="Times New Roman"/>
          <w:b w:val="false"/>
          <w:i w:val="false"/>
          <w:color w:val="000000"/>
          <w:sz w:val="22"/>
        </w:rPr>
        <w:t>2010 Iowa Acts, House File 2487</w:t>
      </w:r>
      <w:r>
        <w:rPr>
          <w:rFonts w:ascii="Times New Roman" w:hAnsi="Times New Roman"/>
          <w:b w:val="false"/>
          <w:i w:val="false"/>
          <w:color w:val="000000"/>
          <w:sz w:val="22"/>
        </w:rPr>
        <w:t xml:space="preserve"> (the “Act”), the Iowa finance authority (“authority”) has been charged with tracking the issuance of RZ bonds and making certain allocations of RZ bonding authority to ensure maximum use of this resource in the state.</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8709B</w:t>
      </w:r>
      <w:r>
        <w:rPr>
          <w:rFonts w:ascii="Times New Roman" w:hAnsi="Times New Roman"/>
          <w:b w:val="false"/>
          <w:i w:val="false"/>
          <w:color w:val="000000"/>
          <w:sz w:val="16"/>
        </w:rPr>
        <w:t>, IAB 5/5/10, effective 4/12/10</w:t>
      </w:r>
      <w:r>
        <w:rPr>
          <w:rFonts w:ascii="Times New Roman" w:hAnsi="Times New Roman"/>
          <w:b w:val="false"/>
          <w:i w:val="false"/>
          <w:color w:val="000000"/>
          <w:sz w:val="16"/>
        </w:rPr>
        <w:t xml:space="preserve">; </w:t>
      </w:r>
      <w:r>
        <w:rPr>
          <w:rFonts w:ascii="Times New Roman" w:hAnsi="Times New Roman"/>
          <w:b/>
          <w:i w:val="false"/>
          <w:color w:val="000000"/>
          <w:sz w:val="16"/>
        </w:rPr>
        <w:t>ARC 8962B</w:t>
      </w:r>
      <w:r>
        <w:rPr>
          <w:rFonts w:ascii="Times New Roman" w:hAnsi="Times New Roman"/>
          <w:b w:val="false"/>
          <w:i w:val="false"/>
          <w:color w:val="000000"/>
          <w:sz w:val="16"/>
        </w:rPr>
        <w:t>, IAB 7/28/10, effective 9/1/10</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