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265—36.2</w:t>
      </w:r>
      <w:r>
        <w:rPr>
          <w:rFonts w:ascii="Times New Roman" w:hAnsi="Times New Roman"/>
          <w:b/>
          <w:i w:val="false"/>
          <w:color w:val="000000"/>
          <w:sz w:val="22"/>
        </w:rPr>
        <w:t xml:space="preserve">(16,83GA,SF376) </w:t>
      </w:r>
      <w:r>
        <w:rPr>
          <w:rFonts w:ascii="Times New Roman" w:hAnsi="Times New Roman"/>
          <w:b/>
          <w:i w:val="false"/>
          <w:color w:val="000000"/>
          <w:sz w:val="22"/>
        </w:rPr>
        <w:t xml:space="preserve">Location of copies of the plan. </w:t>
      </w:r>
      <w:r>
        <w:rPr>
          <w:rFonts w:ascii="Times New Roman" w:hAnsi="Times New Roman"/>
          <w:b w:val="false"/>
          <w:i w:val="false"/>
          <w:color w:val="000000"/>
          <w:sz w:val="22"/>
        </w:rPr>
        <w:t xml:space="preserve">The allocation plan for the public service shelter grant fund program may be reviewed and copied in its entirety on the authority’s Web site at </w:t>
      </w:r>
      <w:hyperlink r:id="rId4">
        <w:r>
          <w:rPr>
            <w:rStyle w:val="Hyperlink"/>
            <w:rFonts w:ascii="Times New Roman" w:hAnsi="Times New Roman"/>
            <w:b w:val="false"/>
            <w:i w:val="false"/>
            <w:color w:val="000000"/>
            <w:sz w:val="22"/>
            <w:u w:val="single"/>
          </w:rPr>
          <w:t>www.iowafinanceauthority.gov</w:t>
        </w:r>
      </w:hyperlink>
      <w:r>
        <w:rPr>
          <w:rFonts w:ascii="Times New Roman" w:hAnsi="Times New Roman"/>
          <w:b w:val="false"/>
          <w:i w:val="false"/>
          <w:color w:val="000000"/>
          <w:sz w:val="22"/>
        </w:rPr>
        <w:t xml:space="preserve">. Copies of the allocation plan for the public service shelter grant fund program, the application forms, and all related attachments and exhibits, if any, shall be deposited with the administrative rules coordinator and at the state law library. The plan incorporates by reference </w:t>
      </w:r>
      <w:r>
        <w:rPr>
          <w:rFonts w:ascii="Times New Roman" w:hAnsi="Times New Roman"/>
          <w:b w:val="false"/>
          <w:i w:val="false"/>
          <w:color w:val="000000"/>
          <w:sz w:val="22"/>
        </w:rPr>
        <w:t>2009 Iowa Acts, Senate File 376</w:t>
      </w:r>
      <w:r>
        <w:rPr>
          <w:rFonts w:ascii="Times New Roman" w:hAnsi="Times New Roman"/>
          <w:b w:val="false"/>
          <w:i w:val="false"/>
          <w:color w:val="000000"/>
          <w:sz w:val="22"/>
        </w:rPr>
        <w:t>, section 28.</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7894B</w:t>
      </w:r>
      <w:r>
        <w:rPr>
          <w:rFonts w:ascii="Times New Roman" w:hAnsi="Times New Roman"/>
          <w:b w:val="false"/>
          <w:i w:val="false"/>
          <w:color w:val="000000"/>
          <w:sz w:val="16"/>
        </w:rPr>
        <w:t>, IAB 7/1/09, effective 6/10/09</w:t>
      </w:r>
      <w:r>
        <w:rPr>
          <w:rFonts w:ascii="Times New Roman" w:hAnsi="Times New Roman"/>
          <w:b w:val="false"/>
          <w:i w:val="false"/>
          <w:color w:val="000000"/>
          <w:sz w:val="16"/>
        </w:rPr>
        <w:t xml:space="preserve">; </w:t>
      </w:r>
      <w:r>
        <w:rPr>
          <w:rFonts w:ascii="Times New Roman" w:hAnsi="Times New Roman"/>
          <w:b/>
          <w:i w:val="false"/>
          <w:color w:val="000000"/>
          <w:sz w:val="16"/>
        </w:rPr>
        <w:t>ARC 8077B</w:t>
      </w:r>
      <w:r>
        <w:rPr>
          <w:rFonts w:ascii="Times New Roman" w:hAnsi="Times New Roman"/>
          <w:b w:val="false"/>
          <w:i w:val="false"/>
          <w:color w:val="000000"/>
          <w:sz w:val="16"/>
        </w:rPr>
        <w:t>, IAB 8/26/09, effective 9/30/09</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www.iowafinanceauthority.gov"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