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265—30.9</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Application and allocation fees. </w:t>
      </w:r>
      <w:r>
        <w:rPr>
          <w:rFonts w:ascii="Times New Roman" w:hAnsi="Times New Roman"/>
          <w:b w:val="false"/>
          <w:i w:val="false"/>
          <w:color w:val="000000"/>
          <w:sz w:val="22"/>
        </w:rPr>
        <w:t>The Iowa finance authority may set and charge reasonable fees for providing administrative assistance with regard to the filing of applications and the allocation of the qualified MDA bond allotments in accordance with these rules.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7703B</w:t>
      </w:r>
      <w:r>
        <w:rPr>
          <w:rFonts w:ascii="Times New Roman" w:hAnsi="Times New Roman"/>
          <w:b w:val="false"/>
          <w:i w:val="false"/>
          <w:color w:val="000000"/>
          <w:sz w:val="16"/>
        </w:rPr>
        <w:t>, IAB 4/8/09, effective 5/13/09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