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265—30.6</w:t>
      </w:r>
      <w:r>
        <w:rPr>
          <w:rFonts w:ascii="Times New Roman" w:hAnsi="Times New Roman"/>
          <w:b/>
          <w:i w:val="false"/>
          <w:color w:val="000000"/>
          <w:sz w:val="22"/>
        </w:rPr>
        <w:t xml:space="preserve">(16) </w:t>
      </w:r>
      <w:r>
        <w:rPr>
          <w:rFonts w:ascii="Times New Roman" w:hAnsi="Times New Roman"/>
          <w:b/>
          <w:i w:val="false"/>
          <w:color w:val="000000"/>
          <w:sz w:val="22"/>
        </w:rPr>
        <w:t xml:space="preserve">Certification of allocation. </w:t>
      </w:r>
      <w:r>
        <w:rPr>
          <w:rFonts w:ascii="Times New Roman" w:hAnsi="Times New Roman"/>
          <w:b w:val="false"/>
          <w:i w:val="false"/>
          <w:color w:val="000000"/>
          <w:sz w:val="22"/>
        </w:rPr>
        <w:t>Upon receipt of a completed application, the governor’s designee shall promptly certify to the applicant the amount of the allotment allocated to the project for which the application was submitted. Subject to subrule 30.4(1), the governor’s designee shall continue to allocate allotments for eligible projects until the allotments allocated equal the maximum aggregate face amount that may be designated as MDA bonds under the Act or until there are no more applications, whichever occurs first. If the remaining allotment capacity is not sufficient to fully fund an application which is next in order for allocation, the governor’s designee shall notify the applicant of the amount that is available and the applicant shall have the option to take what is available within five calendar days of receiving notice of availability. If the applicant does not notify the governor’s designee of its decision to take the available allocation within five calendar days of receiving notice of that option, an allotment shall be offered to the next application on the list under the same conditions. If the partial allocation is accepted, the applicant shall submit a new application for an additional allotment and that application will be added to the bottom of the list in the chronological order of its receipt. If the bonds are issued and delivered prior to the expiration date of the allocation, then the applicant or the applicant’s attorney shall within ten days following the issuance and delivery of the bonds notify the governor’s designee by filing the form captioned “Notice of Issuance and Delivery of Bonds.”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7703B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 xml:space="preserve">; </w:t>
      </w:r>
      <w:r>
        <w:rPr>
          <w:rFonts w:ascii="Times New Roman" w:hAnsi="Times New Roman"/>
          <w:b/>
          <w:i w:val="false"/>
          <w:color w:val="000000"/>
          <w:sz w:val="16"/>
        </w:rPr>
        <w:t>ARC 8548B</w:t>
      </w:r>
      <w:r>
        <w:rPr>
          <w:rFonts w:ascii="Times New Roman" w:hAnsi="Times New Roman"/>
          <w:b w:val="false"/>
          <w:i w:val="false"/>
          <w:color w:val="000000"/>
          <w:sz w:val="16"/>
        </w:rPr>
        <w:t>, IAB 2/24/10, effective 2/4/10</w:t>
      </w:r>
      <w:r>
        <w:rPr>
          <w:rFonts w:ascii="Times New Roman" w:hAnsi="Times New Roman"/>
          <w:b w:val="false"/>
          <w:i w:val="false"/>
          <w:color w:val="000000"/>
          <w:sz w:val="16"/>
        </w:rPr>
        <w:t xml:space="preserve">; </w:t>
      </w:r>
      <w:r>
        <w:rPr>
          <w:rFonts w:ascii="Times New Roman" w:hAnsi="Times New Roman"/>
          <w:b/>
          <w:i w:val="false"/>
          <w:color w:val="000000"/>
          <w:sz w:val="16"/>
        </w:rPr>
        <w:t>ARC 8724B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