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265—30.1</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w:t>
      </w:r>
      <w:r>
        <w:rPr>
          <w:rFonts w:ascii="Times New Roman" w:hAnsi="Times New Roman"/>
          <w:b w:val="false"/>
          <w:i w:val="false"/>
          <w:color w:val="000000"/>
          <w:sz w:val="22"/>
        </w:rPr>
        <w:t>The governor has appointed the executive director of the Iowa finance authority as the governor’s designee responsible for administration of the law which establishes procedures for allocating the authority to issue up to a specified amount of qualified midwestern disaster area (“MDA”) bonds as defined in Section 1400N of the Internal Revenue Code, as amended by the Heartland Disaster Tax Relief Act (“Act”) of 2008. The Act was passed in response to the disasters attributable to the severe storms, tornadoes, and flooding that gave rise to any of the presidential declarations of a major disaster on or after May 20, 2008, and before August 1, 2008, under Section 401 of the Robert T. Stafford Disaster Relief and Emergency Assistance Act and that were determined by the President to warrant individual or individual and public assistance from the federal government under such Act with respect to damages attributable to such severe storms, tornadoes, or flooding (collectively, “disasters”). The Act limits the aggregate face amount of bonds that may be designated as MDA bonds. The role of the governor’s designee is to allocate on behalf of particular projects authorization to issue specified allotments of MDA bonds from the total aggregate face amount permitted under the Act. The authority to issue up to a specified face amount of MDA bonds, as allocated to a particular project pursuant to this chapter, may be referred to herein as an “allotment.” Procedures set out in the Act and in these rules shall be followed in allocating allotments for the various purposes authorized by the Act. The allotments shall be allocated among all eligible applicants for those various purposes in accordance with the Act, Executive Order Number 9, and these rules.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