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265—3.4</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procedure. </w:t>
      </w:r>
      <w:r>
        <w:rPr>
          <w:rFonts w:ascii="Times New Roman" w:hAnsi="Times New Roman"/>
          <w:b w:val="false"/>
          <w:i w:val="false"/>
          <w:color w:val="000000"/>
          <w:sz w:val="22"/>
        </w:rPr>
        <w:t>Applications for assistance under this program must be made on forms and in the manner provided by the authority. Inquiries with respect to this program should be made to those persons identified on the authority’s Web site as contacts for this program. Once contacted with an inquiry, the authority will send an application package to the potential applicant. The authority will take such applications from time to time and will analyze and award loans to applicants on an ongoing basis. It is the position of the authority that such flexibility in taking and reviewing applications and making awards will best serve to foster affordable housing in the state.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