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265—24.7</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of rent subsidy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Reasons for termination. </w:t>
      </w:r>
      <w:r>
        <w:rPr>
          <w:rFonts w:ascii="Times New Roman" w:hAnsi="Times New Roman"/>
          <w:b w:val="false"/>
          <w:i w:val="false"/>
          <w:color w:val="000000"/>
          <w:sz w:val="22"/>
        </w:rPr>
        <w:t>The HCBS rent subsidy shall terminate at the end of the month in which any of the following occur, and a notice shall be sent stating the reason for the termination, which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does not meet one or more of the eligibility criteria listed in </w:t>
      </w:r>
      <w:hyperlink r:id="rId4">
        <w:r>
          <w:rPr>
            <w:rStyle w:val="Hyperlink"/>
            <w:rFonts w:ascii="Times New Roman" w:hAnsi="Times New Roman"/>
            <w:b w:val="false"/>
            <w:i w:val="false"/>
            <w:color w:val="000000"/>
            <w:sz w:val="22"/>
          </w:rPr>
          <w:t>rule 265—24.3(16)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required documentation is not received by the deadline established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further funds are available for the HCBS rent subsidy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recipient, case manager, legal guardian or representative payee demonstrates abusive or threatening language or behavior toward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recipient is determined to have provided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 xml:space="preserve">The applicant or the applicant’s designated responsible party as certified in the application is required to report to the authority any changes that may affect eligibility within ten business days of the occurrence of the change. Failure to do so may result in the applicant’s responsibility to repay HCBS rent subsidy funds and termination of the HCBS rent subsidy.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Insufficient funding. </w:t>
      </w:r>
      <w:r>
        <w:rPr>
          <w:rFonts w:ascii="Times New Roman" w:hAnsi="Times New Roman"/>
          <w:b w:val="false"/>
          <w:i w:val="false"/>
          <w:color w:val="000000"/>
          <w:sz w:val="22"/>
        </w:rPr>
        <w:t xml:space="preserve">If funds are not sufficient to cover payments for all recipients under the HCBS rent subsidy program, recipients shall be terminated from the program in inverse order based on the date of the approved application, such that the most recently approved recipients shall be terminated from the program first, and the recipient terminated from the program shall be placed back on the waiting list, with the recipient’s original approval date dictating the recipient’s position on the waiting list.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3423C</w:t>
      </w:r>
      <w:r>
        <w:rPr>
          <w:rFonts w:ascii="Times New Roman" w:hAnsi="Times New Roman"/>
          <w:b w:val="false"/>
          <w:i w:val="false"/>
          <w:color w:val="000000"/>
          <w:sz w:val="16"/>
        </w:rPr>
        <w:t>, IAB 10/25/17, effective 11/29/17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24.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